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AACB1B" w14:textId="47FC369C" w:rsidR="00B14EF6" w:rsidRDefault="00773FAE" w:rsidP="00634FEF">
      <w:pPr>
        <w:spacing w:after="0" w:line="240" w:lineRule="auto"/>
        <w:rPr>
          <w:b/>
        </w:rPr>
      </w:pPr>
      <w:r>
        <w:rPr>
          <w:noProof/>
        </w:rPr>
        <mc:AlternateContent>
          <mc:Choice Requires="wps">
            <w:drawing>
              <wp:anchor distT="0" distB="0" distL="114300" distR="114300" simplePos="0" relativeHeight="251662336" behindDoc="0" locked="0" layoutInCell="1" allowOverlap="1" wp14:anchorId="3101D899" wp14:editId="3AC58E98">
                <wp:simplePos x="0" y="0"/>
                <wp:positionH relativeFrom="column">
                  <wp:posOffset>-69850</wp:posOffset>
                </wp:positionH>
                <wp:positionV relativeFrom="paragraph">
                  <wp:posOffset>-255905</wp:posOffset>
                </wp:positionV>
                <wp:extent cx="6390640" cy="835025"/>
                <wp:effectExtent l="146050" t="150495" r="181610" b="1955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35025"/>
                        </a:xfrm>
                        <a:prstGeom prst="rect">
                          <a:avLst/>
                        </a:prstGeom>
                        <a:solidFill>
                          <a:schemeClr val="accent6">
                            <a:lumMod val="100000"/>
                            <a:lumOff val="0"/>
                          </a:schemeClr>
                        </a:solidFill>
                        <a:ln w="38100">
                          <a:solidFill>
                            <a:schemeClr val="bg1">
                              <a:lumMod val="100000"/>
                              <a:lumOff val="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3404EE33" w14:textId="77777777" w:rsidR="00517E1A" w:rsidRPr="00614A09" w:rsidRDefault="00517E1A" w:rsidP="00517E1A">
                            <w:pPr>
                              <w:spacing w:after="0"/>
                              <w:jc w:val="center"/>
                              <w:rPr>
                                <w:b/>
                                <w:color w:val="FFFFFF" w:themeColor="background1"/>
                              </w:rPr>
                            </w:pPr>
                          </w:p>
                          <w:p w14:paraId="3C32F27E" w14:textId="77777777" w:rsidR="00517E1A" w:rsidRPr="003B21E0" w:rsidRDefault="00517E1A" w:rsidP="00517E1A">
                            <w:pPr>
                              <w:spacing w:after="0"/>
                              <w:jc w:val="center"/>
                              <w:rPr>
                                <w:b/>
                                <w:color w:val="FFFFFF" w:themeColor="background1"/>
                                <w:sz w:val="36"/>
                                <w:szCs w:val="36"/>
                              </w:rPr>
                            </w:pPr>
                            <w:r w:rsidRPr="003B21E0">
                              <w:rPr>
                                <w:b/>
                                <w:color w:val="FFFFFF" w:themeColor="background1"/>
                                <w:sz w:val="36"/>
                                <w:szCs w:val="36"/>
                              </w:rPr>
                              <w:t>Broadband Public Housing Grants</w:t>
                            </w:r>
                          </w:p>
                          <w:p w14:paraId="098DAF0F" w14:textId="77777777" w:rsidR="00517E1A" w:rsidRPr="00517E1A" w:rsidRDefault="00517E1A" w:rsidP="00517E1A">
                            <w:pPr>
                              <w:spacing w:after="0"/>
                              <w:rPr>
                                <w:b/>
                                <w:color w:val="FFFFFF" w:themeColor="background1"/>
                                <w:sz w:val="36"/>
                                <w:szCs w:val="36"/>
                              </w:rPr>
                            </w:pPr>
                          </w:p>
                          <w:p w14:paraId="1B81796A" w14:textId="77777777" w:rsidR="00517E1A" w:rsidRDefault="00517E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5.45pt;margin-top:-20.1pt;width:503.2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" fillcolor="#f79646 [3209]" strokecolor="white [3212]" strokeweight="3pt">
                <v:shadow on="t" color="#974706 [1609]" opacity=".5" offset="1pt"/>
                <v:textbox>
                  <w:txbxContent>
                    <w:p w14:paraId="3404EE33" w14:textId="77777777" w:rsidR="00517E1A" w:rsidRPr="00614A09" w:rsidRDefault="00517E1A" w:rsidP="00517E1A">
                      <w:pPr>
                        <w:spacing w:after="0"/>
                        <w:jc w:val="center"/>
                        <w:rPr>
                          <w:b/>
                          <w:color w:val="FFFFFF" w:themeColor="background1"/>
                        </w:rPr>
                      </w:pPr>
                    </w:p>
                    <w:p w14:paraId="3C32F27E" w14:textId="77777777" w:rsidR="00517E1A" w:rsidRPr="003B21E0" w:rsidRDefault="00517E1A" w:rsidP="00517E1A">
                      <w:pPr>
                        <w:spacing w:after="0"/>
                        <w:jc w:val="center"/>
                        <w:rPr>
                          <w:b/>
                          <w:color w:val="FFFFFF" w:themeColor="background1"/>
                          <w:sz w:val="36"/>
                          <w:szCs w:val="36"/>
                        </w:rPr>
                      </w:pPr>
                      <w:r w:rsidRPr="003B21E0">
                        <w:rPr>
                          <w:b/>
                          <w:color w:val="FFFFFF" w:themeColor="background1"/>
                          <w:sz w:val="36"/>
                          <w:szCs w:val="36"/>
                        </w:rPr>
                        <w:t>Broadband Public Housing Grants</w:t>
                      </w:r>
                    </w:p>
                    <w:p w14:paraId="098DAF0F" w14:textId="77777777" w:rsidR="00517E1A" w:rsidRPr="00517E1A" w:rsidRDefault="00517E1A" w:rsidP="00517E1A">
                      <w:pPr>
                        <w:spacing w:after="0"/>
                        <w:rPr>
                          <w:b/>
                          <w:color w:val="FFFFFF" w:themeColor="background1"/>
                          <w:sz w:val="36"/>
                          <w:szCs w:val="36"/>
                        </w:rPr>
                      </w:pPr>
                    </w:p>
                    <w:p w14:paraId="1B81796A" w14:textId="77777777" w:rsidR="00517E1A" w:rsidRDefault="00517E1A"/>
                  </w:txbxContent>
                </v:textbox>
              </v:shape>
            </w:pict>
          </mc:Fallback>
        </mc:AlternateContent>
      </w:r>
    </w:p>
    <w:p w14:paraId="153EA5C6" w14:textId="77777777" w:rsidR="00517E1A" w:rsidRDefault="00517E1A" w:rsidP="00634FEF">
      <w:pPr>
        <w:spacing w:after="0" w:line="240" w:lineRule="auto"/>
        <w:rPr>
          <w:b/>
        </w:rPr>
      </w:pPr>
    </w:p>
    <w:p w14:paraId="1F6A640A" w14:textId="77777777" w:rsidR="00517E1A" w:rsidRDefault="00517E1A" w:rsidP="00634FEF">
      <w:pPr>
        <w:spacing w:after="0" w:line="240" w:lineRule="auto"/>
        <w:rPr>
          <w:b/>
        </w:rPr>
      </w:pPr>
    </w:p>
    <w:p w14:paraId="4F8C9592" w14:textId="77777777" w:rsidR="00517E1A" w:rsidRPr="00517E1A" w:rsidRDefault="00517E1A" w:rsidP="00634FEF">
      <w:pPr>
        <w:spacing w:after="0" w:line="240" w:lineRule="auto"/>
        <w:rPr>
          <w:b/>
        </w:rPr>
      </w:pPr>
    </w:p>
    <w:p w14:paraId="5F52D5E2" w14:textId="77777777" w:rsidR="00634FEF" w:rsidRDefault="00634FEF" w:rsidP="00634FEF">
      <w:pPr>
        <w:spacing w:after="0" w:line="240" w:lineRule="auto"/>
        <w:jc w:val="center"/>
        <w:rPr>
          <w:b/>
          <w:color w:val="E36C0A" w:themeColor="accent6" w:themeShade="BF"/>
          <w:sz w:val="32"/>
          <w:szCs w:val="32"/>
        </w:rPr>
      </w:pPr>
    </w:p>
    <w:p w14:paraId="07E422C3" w14:textId="77777777" w:rsidR="00614A09" w:rsidRPr="003B21E0" w:rsidRDefault="003B21E0" w:rsidP="00634FEF">
      <w:pPr>
        <w:spacing w:after="0" w:line="240" w:lineRule="auto"/>
        <w:jc w:val="center"/>
        <w:rPr>
          <w:b/>
          <w:color w:val="E36C0A" w:themeColor="accent6" w:themeShade="BF"/>
          <w:sz w:val="32"/>
          <w:szCs w:val="32"/>
        </w:rPr>
      </w:pPr>
      <w:r w:rsidRPr="003B21E0">
        <w:rPr>
          <w:b/>
          <w:color w:val="E36C0A" w:themeColor="accent6" w:themeShade="BF"/>
          <w:sz w:val="32"/>
          <w:szCs w:val="32"/>
        </w:rPr>
        <w:t>Program Overview</w:t>
      </w:r>
    </w:p>
    <w:p w14:paraId="56163648" w14:textId="77777777" w:rsidR="00634FEF" w:rsidRDefault="00634FEF" w:rsidP="00634FEF">
      <w:pPr>
        <w:spacing w:after="0" w:line="240" w:lineRule="auto"/>
        <w:rPr>
          <w:b/>
          <w:color w:val="F79646" w:themeColor="accent6"/>
        </w:rPr>
      </w:pPr>
    </w:p>
    <w:p w14:paraId="2D2D3EC6" w14:textId="77777777" w:rsidR="00AD1541" w:rsidRPr="003B21E0" w:rsidRDefault="003B21E0" w:rsidP="00634FEF">
      <w:pPr>
        <w:spacing w:after="0" w:line="240" w:lineRule="auto"/>
        <w:rPr>
          <w:b/>
          <w:color w:val="F79646" w:themeColor="accent6"/>
        </w:rPr>
      </w:pPr>
      <w:r w:rsidRPr="003B21E0">
        <w:rPr>
          <w:b/>
          <w:color w:val="F79646" w:themeColor="accent6"/>
        </w:rPr>
        <w:t>Background</w:t>
      </w:r>
    </w:p>
    <w:p w14:paraId="3BCE0ADF" w14:textId="77777777" w:rsidR="003B21E0" w:rsidRDefault="003B21E0" w:rsidP="00634FEF">
      <w:pPr>
        <w:numPr>
          <w:ilvl w:val="0"/>
          <w:numId w:val="7"/>
        </w:numPr>
        <w:tabs>
          <w:tab w:val="clear" w:pos="720"/>
          <w:tab w:val="num" w:pos="450"/>
        </w:tabs>
        <w:spacing w:after="0" w:line="240" w:lineRule="auto"/>
        <w:ind w:left="450"/>
      </w:pPr>
      <w:r w:rsidRPr="003B21E0">
        <w:t>In 2013, AB 1299 add</w:t>
      </w:r>
      <w:r>
        <w:t>ed</w:t>
      </w:r>
      <w:r w:rsidRPr="003B21E0">
        <w:t xml:space="preserve"> a fourth account to the California Advanced Services Fund</w:t>
      </w:r>
      <w:r>
        <w:t xml:space="preserve"> (CASF)</w:t>
      </w:r>
      <w:r w:rsidRPr="003B21E0">
        <w:t xml:space="preserve"> program dedicated to broadband access and adoption in publicly-subsidized housing developments.</w:t>
      </w:r>
    </w:p>
    <w:p w14:paraId="6A83D7CA" w14:textId="77777777" w:rsidR="00423E41" w:rsidRPr="00423E41" w:rsidRDefault="00423E41" w:rsidP="00634FEF">
      <w:pPr>
        <w:numPr>
          <w:ilvl w:val="0"/>
          <w:numId w:val="7"/>
        </w:numPr>
        <w:tabs>
          <w:tab w:val="clear" w:pos="720"/>
          <w:tab w:val="num" w:pos="450"/>
        </w:tabs>
        <w:spacing w:after="0" w:line="240" w:lineRule="auto"/>
        <w:ind w:left="450"/>
      </w:pPr>
      <w:r w:rsidRPr="00423E41">
        <w:t xml:space="preserve">On December 18, 2014, the </w:t>
      </w:r>
      <w:r>
        <w:t>California Public Utilities Commission (CPUC)</w:t>
      </w:r>
      <w:r w:rsidRPr="00423E41">
        <w:t xml:space="preserve"> approved the rules implementing the new Broadband Public Housing Account (BPHA).</w:t>
      </w:r>
    </w:p>
    <w:p w14:paraId="5EFA44DC" w14:textId="77777777" w:rsidR="009F5682" w:rsidRPr="009A7F33" w:rsidRDefault="00646A81" w:rsidP="00634FEF">
      <w:pPr>
        <w:numPr>
          <w:ilvl w:val="0"/>
          <w:numId w:val="7"/>
        </w:numPr>
        <w:tabs>
          <w:tab w:val="clear" w:pos="720"/>
          <w:tab w:val="num" w:pos="450"/>
        </w:tabs>
        <w:spacing w:after="0" w:line="240" w:lineRule="auto"/>
        <w:ind w:left="450"/>
      </w:pPr>
      <w:r w:rsidRPr="009A7F33">
        <w:t xml:space="preserve">$20 million </w:t>
      </w:r>
      <w:r w:rsidR="00FA661F">
        <w:t xml:space="preserve">were made </w:t>
      </w:r>
      <w:r w:rsidR="00B4219A">
        <w:t xml:space="preserve">available </w:t>
      </w:r>
      <w:r w:rsidRPr="009A7F33">
        <w:t>for infrastructure projects</w:t>
      </w:r>
      <w:r w:rsidR="00423E41">
        <w:t>- installation of shared broadband networks to connect each resident unit to high-speed Internet.</w:t>
      </w:r>
    </w:p>
    <w:p w14:paraId="42309C04" w14:textId="77777777" w:rsidR="009F5682" w:rsidRPr="009A7F33" w:rsidRDefault="00646A81" w:rsidP="00634FEF">
      <w:pPr>
        <w:numPr>
          <w:ilvl w:val="0"/>
          <w:numId w:val="7"/>
        </w:numPr>
        <w:tabs>
          <w:tab w:val="clear" w:pos="720"/>
          <w:tab w:val="num" w:pos="450"/>
        </w:tabs>
        <w:spacing w:after="0" w:line="240" w:lineRule="auto"/>
        <w:ind w:left="450"/>
      </w:pPr>
      <w:r w:rsidRPr="009A7F33">
        <w:t xml:space="preserve">$5 million </w:t>
      </w:r>
      <w:r w:rsidR="00FA661F">
        <w:t>were made</w:t>
      </w:r>
      <w:r w:rsidR="00B4219A">
        <w:t xml:space="preserve"> available </w:t>
      </w:r>
      <w:r w:rsidRPr="009A7F33">
        <w:t>for adoption projects</w:t>
      </w:r>
      <w:r w:rsidR="00423E41">
        <w:t xml:space="preserve">- Digital Literacy training, technical support, and computers for computer labs and residents. </w:t>
      </w:r>
    </w:p>
    <w:p w14:paraId="5DDE151A" w14:textId="77777777" w:rsidR="009F5682" w:rsidRPr="009A7F33" w:rsidRDefault="00B4219A" w:rsidP="00634FEF">
      <w:pPr>
        <w:numPr>
          <w:ilvl w:val="0"/>
          <w:numId w:val="7"/>
        </w:numPr>
        <w:tabs>
          <w:tab w:val="clear" w:pos="720"/>
          <w:tab w:val="num" w:pos="450"/>
        </w:tabs>
        <w:spacing w:after="0" w:line="240" w:lineRule="auto"/>
        <w:ind w:left="450"/>
      </w:pPr>
      <w:r>
        <w:t>All funds should be awarded</w:t>
      </w:r>
      <w:r w:rsidR="00646A81" w:rsidRPr="009A7F33">
        <w:t xml:space="preserve"> by December 31, 2016</w:t>
      </w:r>
      <w:r w:rsidR="00423E41">
        <w:t>.</w:t>
      </w:r>
      <w:r w:rsidR="00332923" w:rsidRPr="009A7F33">
        <w:t xml:space="preserve"> </w:t>
      </w:r>
    </w:p>
    <w:p w14:paraId="2BDC6382" w14:textId="77777777" w:rsidR="00AD1541" w:rsidRPr="009A7F33" w:rsidRDefault="00AD1541" w:rsidP="00634FEF">
      <w:pPr>
        <w:spacing w:after="0" w:line="240" w:lineRule="auto"/>
        <w:ind w:left="720"/>
      </w:pPr>
    </w:p>
    <w:p w14:paraId="40E23CA1" w14:textId="77777777" w:rsidR="007F4A59" w:rsidRPr="003B21E0" w:rsidRDefault="00441657" w:rsidP="00634FEF">
      <w:pPr>
        <w:spacing w:after="0" w:line="240" w:lineRule="auto"/>
        <w:rPr>
          <w:b/>
          <w:color w:val="F79646" w:themeColor="accent6"/>
        </w:rPr>
      </w:pPr>
      <w:r w:rsidRPr="003B21E0">
        <w:rPr>
          <w:b/>
          <w:color w:val="F79646" w:themeColor="accent6"/>
        </w:rPr>
        <w:t>Program Eligibility</w:t>
      </w:r>
    </w:p>
    <w:p w14:paraId="423CD47D" w14:textId="77777777" w:rsidR="009F5682" w:rsidRPr="009A7F33" w:rsidRDefault="00333E13" w:rsidP="00634FEF">
      <w:pPr>
        <w:numPr>
          <w:ilvl w:val="0"/>
          <w:numId w:val="7"/>
        </w:numPr>
        <w:tabs>
          <w:tab w:val="clear" w:pos="720"/>
          <w:tab w:val="num" w:pos="450"/>
        </w:tabs>
        <w:spacing w:after="0" w:line="240" w:lineRule="auto"/>
        <w:ind w:left="450"/>
      </w:pPr>
      <w:r w:rsidRPr="009A7F33">
        <w:t>P</w:t>
      </w:r>
      <w:r w:rsidR="00646A81" w:rsidRPr="009A7F33">
        <w:t xml:space="preserve">ublicly subsidized multifamily housing development that is wholly owned by either </w:t>
      </w:r>
    </w:p>
    <w:p w14:paraId="32B09DBF" w14:textId="77777777" w:rsidR="009F5682" w:rsidRPr="009A7F33" w:rsidRDefault="00646A81" w:rsidP="00634FEF">
      <w:pPr>
        <w:spacing w:after="0" w:line="240" w:lineRule="auto"/>
        <w:ind w:left="450"/>
      </w:pPr>
      <w:r w:rsidRPr="009A7F33">
        <w:t xml:space="preserve">(1) </w:t>
      </w:r>
      <w:proofErr w:type="gramStart"/>
      <w:r w:rsidRPr="009A7F33">
        <w:t>a</w:t>
      </w:r>
      <w:proofErr w:type="gramEnd"/>
      <w:r w:rsidRPr="009A7F33">
        <w:t xml:space="preserve"> chartered public housing agency which has been determined an eligible public housing agency by the United States Department of Housing and Urban Development (HUD)</w:t>
      </w:r>
    </w:p>
    <w:p w14:paraId="3CA0762A" w14:textId="77777777" w:rsidR="00517E1A" w:rsidRPr="009A7F33" w:rsidRDefault="00646A81" w:rsidP="00634FEF">
      <w:pPr>
        <w:spacing w:after="0" w:line="240" w:lineRule="auto"/>
        <w:ind w:left="360" w:firstLine="90"/>
      </w:pPr>
      <w:r w:rsidRPr="009A7F33">
        <w:t xml:space="preserve">(2) </w:t>
      </w:r>
      <w:proofErr w:type="gramStart"/>
      <w:r w:rsidRPr="009A7F33">
        <w:t>a</w:t>
      </w:r>
      <w:proofErr w:type="gramEnd"/>
      <w:r w:rsidRPr="009A7F33">
        <w:t xml:space="preserve"> 501 (c)(3) non</w:t>
      </w:r>
      <w:r w:rsidR="003B21E0">
        <w:t>-</w:t>
      </w:r>
      <w:r w:rsidRPr="009A7F33">
        <w:t xml:space="preserve">profit organization that has received public funding </w:t>
      </w:r>
      <w:r w:rsidR="00517E1A" w:rsidRPr="009A7F33">
        <w:t xml:space="preserve">to subsidize low-income  </w:t>
      </w:r>
    </w:p>
    <w:p w14:paraId="72E1F190" w14:textId="77777777" w:rsidR="009F5682" w:rsidRPr="009A7F33" w:rsidRDefault="00423E41" w:rsidP="00634FEF">
      <w:pPr>
        <w:spacing w:after="0" w:line="240" w:lineRule="auto"/>
        <w:ind w:left="360" w:firstLine="90"/>
      </w:pPr>
      <w:proofErr w:type="gramStart"/>
      <w:r>
        <w:t>h</w:t>
      </w:r>
      <w:r w:rsidR="00517E1A" w:rsidRPr="009A7F33">
        <w:t>ousing</w:t>
      </w:r>
      <w:proofErr w:type="gramEnd"/>
      <w:r>
        <w:t>.</w:t>
      </w:r>
    </w:p>
    <w:p w14:paraId="60FD0604" w14:textId="77777777" w:rsidR="009F5682" w:rsidRPr="009A7F33" w:rsidRDefault="00646A81" w:rsidP="00634FEF">
      <w:pPr>
        <w:numPr>
          <w:ilvl w:val="0"/>
          <w:numId w:val="7"/>
        </w:numPr>
        <w:tabs>
          <w:tab w:val="clear" w:pos="720"/>
          <w:tab w:val="num" w:pos="450"/>
        </w:tabs>
        <w:spacing w:after="0" w:line="240" w:lineRule="auto"/>
        <w:ind w:left="450"/>
      </w:pPr>
      <w:r w:rsidRPr="009A7F33">
        <w:t xml:space="preserve">Non-profit housing developers involved in limited partnerships with for-profit entities may also be </w:t>
      </w:r>
      <w:proofErr w:type="gramStart"/>
      <w:r w:rsidRPr="009A7F33">
        <w:t>eligible</w:t>
      </w:r>
      <w:proofErr w:type="gramEnd"/>
      <w:r w:rsidR="00423E41">
        <w:t>.</w:t>
      </w:r>
    </w:p>
    <w:p w14:paraId="65DCA616" w14:textId="77777777" w:rsidR="00333E13" w:rsidRPr="009A7F33" w:rsidRDefault="00333E13" w:rsidP="00634FEF">
      <w:pPr>
        <w:spacing w:after="0" w:line="240" w:lineRule="auto"/>
      </w:pPr>
    </w:p>
    <w:p w14:paraId="5CDC83A4" w14:textId="77777777" w:rsidR="00441657" w:rsidRPr="003B21E0" w:rsidRDefault="00333E13" w:rsidP="00634FEF">
      <w:pPr>
        <w:spacing w:after="0" w:line="240" w:lineRule="auto"/>
        <w:rPr>
          <w:b/>
          <w:color w:val="F79646" w:themeColor="accent6"/>
        </w:rPr>
      </w:pPr>
      <w:r w:rsidRPr="003B21E0">
        <w:rPr>
          <w:b/>
          <w:color w:val="F79646" w:themeColor="accent6"/>
        </w:rPr>
        <w:t>Infrastructure Grants</w:t>
      </w:r>
    </w:p>
    <w:p w14:paraId="12B308C4" w14:textId="77777777" w:rsidR="00332923" w:rsidRPr="009A7F33" w:rsidRDefault="00332923" w:rsidP="00634FEF">
      <w:pPr>
        <w:pStyle w:val="BodyA"/>
        <w:rPr>
          <w:rFonts w:asciiTheme="minorHAnsi" w:eastAsia="Palatino Linotype" w:hAnsiTheme="minorHAnsi" w:cs="Palatino Linotype"/>
          <w:color w:val="auto"/>
          <w:sz w:val="22"/>
          <w:szCs w:val="22"/>
        </w:rPr>
      </w:pPr>
      <w:r w:rsidRPr="009A7F33">
        <w:rPr>
          <w:rFonts w:asciiTheme="minorHAnsi" w:eastAsia="Palatino Linotype" w:hAnsiTheme="minorHAnsi" w:cs="Palatino Linotype"/>
          <w:color w:val="auto"/>
          <w:sz w:val="22"/>
          <w:szCs w:val="22"/>
        </w:rPr>
        <w:t xml:space="preserve">The Commission will award grants and loans to finance up to 100 </w:t>
      </w:r>
      <w:r w:rsidR="00B4219A">
        <w:rPr>
          <w:rFonts w:asciiTheme="minorHAnsi" w:eastAsia="Palatino Linotype" w:hAnsiTheme="minorHAnsi" w:cs="Palatino Linotype"/>
          <w:color w:val="auto"/>
          <w:sz w:val="22"/>
          <w:szCs w:val="22"/>
        </w:rPr>
        <w:t>%</w:t>
      </w:r>
      <w:r w:rsidRPr="009A7F33">
        <w:rPr>
          <w:rFonts w:asciiTheme="minorHAnsi" w:eastAsia="Palatino Linotype" w:hAnsiTheme="minorHAnsi" w:cs="Palatino Linotype"/>
          <w:color w:val="auto"/>
          <w:sz w:val="22"/>
          <w:szCs w:val="22"/>
        </w:rPr>
        <w:t xml:space="preserve"> of the costs to install inside wiring and equipment, but will not finance maintenance or operation costs. </w:t>
      </w:r>
      <w:r w:rsidR="00B4219A">
        <w:rPr>
          <w:rFonts w:asciiTheme="minorHAnsi" w:eastAsia="Palatino Linotype" w:hAnsiTheme="minorHAnsi" w:cs="Palatino Linotype"/>
          <w:color w:val="auto"/>
          <w:sz w:val="22"/>
          <w:szCs w:val="22"/>
        </w:rPr>
        <w:t xml:space="preserve"> </w:t>
      </w:r>
      <w:r w:rsidRPr="009A7F33">
        <w:rPr>
          <w:rFonts w:asciiTheme="minorHAnsi" w:eastAsia="Palatino Linotype" w:hAnsiTheme="minorHAnsi" w:cs="Palatino Linotype"/>
          <w:color w:val="auto"/>
          <w:sz w:val="22"/>
          <w:szCs w:val="22"/>
        </w:rPr>
        <w:t>The Commission will reimburse for the following expenses:</w:t>
      </w:r>
    </w:p>
    <w:p w14:paraId="7964070A" w14:textId="77777777" w:rsidR="009F5682" w:rsidRPr="009A7F33" w:rsidRDefault="00646A81" w:rsidP="00634FEF">
      <w:pPr>
        <w:numPr>
          <w:ilvl w:val="0"/>
          <w:numId w:val="7"/>
        </w:numPr>
        <w:tabs>
          <w:tab w:val="clear" w:pos="720"/>
          <w:tab w:val="num" w:pos="450"/>
        </w:tabs>
        <w:spacing w:after="0" w:line="240" w:lineRule="auto"/>
        <w:ind w:left="450"/>
      </w:pPr>
      <w:r w:rsidRPr="009A7F33">
        <w:t>All networking equipment, both hardware and software, including wireless access points</w:t>
      </w:r>
      <w:r w:rsidR="00423E41">
        <w:t>.</w:t>
      </w:r>
    </w:p>
    <w:p w14:paraId="0D6F018C" w14:textId="77777777" w:rsidR="009F5682" w:rsidRPr="009A7F33" w:rsidRDefault="00646A81" w:rsidP="00634FEF">
      <w:pPr>
        <w:numPr>
          <w:ilvl w:val="0"/>
          <w:numId w:val="7"/>
        </w:numPr>
        <w:tabs>
          <w:tab w:val="clear" w:pos="720"/>
          <w:tab w:val="num" w:pos="450"/>
        </w:tabs>
        <w:spacing w:after="0" w:line="240" w:lineRule="auto"/>
        <w:ind w:left="450"/>
      </w:pPr>
      <w:r w:rsidRPr="009A7F33">
        <w:t>Low voltage contracting (including the installation of conduit, panels and cabling required to provide power for the equipment funded as part of the project), provided it does not include major rehabilitation, demolition or construction</w:t>
      </w:r>
      <w:r w:rsidR="00423E41">
        <w:t>.</w:t>
      </w:r>
    </w:p>
    <w:p w14:paraId="769B1586" w14:textId="77777777" w:rsidR="009F5682" w:rsidRPr="009A7F33" w:rsidRDefault="00646A81" w:rsidP="00634FEF">
      <w:pPr>
        <w:numPr>
          <w:ilvl w:val="0"/>
          <w:numId w:val="7"/>
        </w:numPr>
        <w:tabs>
          <w:tab w:val="clear" w:pos="720"/>
          <w:tab w:val="num" w:pos="450"/>
        </w:tabs>
        <w:spacing w:after="0" w:line="240" w:lineRule="auto"/>
        <w:ind w:left="450"/>
      </w:pPr>
      <w:r w:rsidRPr="009A7F33">
        <w:t>Modems or routers, but not computers or human interface devices</w:t>
      </w:r>
      <w:r w:rsidR="00423E41">
        <w:t>.</w:t>
      </w:r>
    </w:p>
    <w:p w14:paraId="3695A254" w14:textId="77777777" w:rsidR="009F5682" w:rsidRPr="009A7F33" w:rsidRDefault="00646A81" w:rsidP="00634FEF">
      <w:pPr>
        <w:numPr>
          <w:ilvl w:val="0"/>
          <w:numId w:val="7"/>
        </w:numPr>
        <w:tabs>
          <w:tab w:val="clear" w:pos="720"/>
          <w:tab w:val="num" w:pos="450"/>
        </w:tabs>
        <w:spacing w:after="0" w:line="240" w:lineRule="auto"/>
        <w:ind w:left="450"/>
      </w:pPr>
      <w:r w:rsidRPr="009A7F33">
        <w:t xml:space="preserve">Engineering </w:t>
      </w:r>
      <w:r w:rsidR="00423E41">
        <w:t>and</w:t>
      </w:r>
      <w:r w:rsidRPr="009A7F33">
        <w:t xml:space="preserve"> design</w:t>
      </w:r>
      <w:r w:rsidR="00423E41">
        <w:t>.</w:t>
      </w:r>
    </w:p>
    <w:p w14:paraId="258132AE" w14:textId="77777777" w:rsidR="009F5682" w:rsidRPr="009A7F33" w:rsidRDefault="00646A81" w:rsidP="00634FEF">
      <w:pPr>
        <w:numPr>
          <w:ilvl w:val="0"/>
          <w:numId w:val="7"/>
        </w:numPr>
        <w:tabs>
          <w:tab w:val="clear" w:pos="720"/>
          <w:tab w:val="num" w:pos="450"/>
        </w:tabs>
        <w:spacing w:after="0" w:line="240" w:lineRule="auto"/>
        <w:ind w:left="450"/>
      </w:pPr>
      <w:r w:rsidRPr="009A7F33">
        <w:t>Hardware warranty</w:t>
      </w:r>
      <w:r w:rsidR="00423E41">
        <w:t>.</w:t>
      </w:r>
    </w:p>
    <w:p w14:paraId="6881FF98" w14:textId="77777777" w:rsidR="009F5682" w:rsidRPr="009A7F33" w:rsidRDefault="00646A81" w:rsidP="00634FEF">
      <w:pPr>
        <w:numPr>
          <w:ilvl w:val="0"/>
          <w:numId w:val="7"/>
        </w:numPr>
        <w:tabs>
          <w:tab w:val="clear" w:pos="720"/>
          <w:tab w:val="num" w:pos="450"/>
        </w:tabs>
        <w:spacing w:after="0" w:line="240" w:lineRule="auto"/>
        <w:ind w:left="450"/>
      </w:pPr>
      <w:r w:rsidRPr="009A7F33">
        <w:t>Installation labor from the Minimum Point of Entry (MPOE) to the individual unit</w:t>
      </w:r>
      <w:r w:rsidR="00423E41">
        <w:t>.</w:t>
      </w:r>
    </w:p>
    <w:p w14:paraId="5E3767DF" w14:textId="77777777" w:rsidR="009F5682" w:rsidRDefault="00646A81" w:rsidP="00634FEF">
      <w:pPr>
        <w:numPr>
          <w:ilvl w:val="0"/>
          <w:numId w:val="7"/>
        </w:numPr>
        <w:tabs>
          <w:tab w:val="clear" w:pos="720"/>
          <w:tab w:val="num" w:pos="450"/>
        </w:tabs>
        <w:spacing w:after="0" w:line="240" w:lineRule="auto"/>
        <w:ind w:left="450"/>
      </w:pPr>
      <w:r w:rsidRPr="009A7F33">
        <w:t>Taxes, shipping and insurance costs directly related to project</w:t>
      </w:r>
      <w:r w:rsidR="00423E41">
        <w:t>.</w:t>
      </w:r>
    </w:p>
    <w:p w14:paraId="0E98C74E" w14:textId="77777777" w:rsidR="003B21E0" w:rsidRDefault="003B21E0" w:rsidP="00634FEF">
      <w:pPr>
        <w:spacing w:after="0" w:line="240" w:lineRule="auto"/>
      </w:pPr>
    </w:p>
    <w:p w14:paraId="1622C764" w14:textId="77777777" w:rsidR="003B21E0" w:rsidRPr="00634FEF" w:rsidRDefault="003B21E0" w:rsidP="00634FEF">
      <w:pPr>
        <w:spacing w:after="0" w:line="240" w:lineRule="auto"/>
      </w:pPr>
      <w:r w:rsidRPr="00634FEF">
        <w:t xml:space="preserve">Allowed </w:t>
      </w:r>
      <w:r w:rsidR="00634FEF" w:rsidRPr="00634FEF">
        <w:t xml:space="preserve">Cost </w:t>
      </w:r>
      <w:proofErr w:type="gramStart"/>
      <w:r w:rsidR="00634FEF" w:rsidRPr="00634FEF">
        <w:t>Per</w:t>
      </w:r>
      <w:proofErr w:type="gramEnd"/>
      <w:r w:rsidR="00634FEF" w:rsidRPr="00634FEF">
        <w:t xml:space="preserve"> Unit</w:t>
      </w:r>
      <w:r w:rsidR="00634FEF">
        <w:t>- Infrastructure Projects (exceptions might be made with the approval of the CPUC Commissioners):</w:t>
      </w:r>
      <w:r w:rsidRPr="00634FEF">
        <w:t xml:space="preserve">  </w:t>
      </w:r>
    </w:p>
    <w:p w14:paraId="4F4808D1" w14:textId="77777777" w:rsidR="003B21E0" w:rsidRPr="00634FEF" w:rsidRDefault="00634FEF" w:rsidP="00634FEF">
      <w:pPr>
        <w:numPr>
          <w:ilvl w:val="0"/>
          <w:numId w:val="7"/>
        </w:numPr>
        <w:tabs>
          <w:tab w:val="clear" w:pos="720"/>
          <w:tab w:val="num" w:pos="450"/>
        </w:tabs>
        <w:spacing w:after="0" w:line="240" w:lineRule="auto"/>
        <w:ind w:left="450"/>
      </w:pPr>
      <w:r>
        <w:t xml:space="preserve">Properties with &lt; </w:t>
      </w:r>
      <w:r w:rsidRPr="00634FEF">
        <w:t>5</w:t>
      </w:r>
      <w:r>
        <w:t>1</w:t>
      </w:r>
      <w:r w:rsidRPr="00634FEF">
        <w:t xml:space="preserve"> </w:t>
      </w:r>
      <w:r>
        <w:t xml:space="preserve">resident units:  </w:t>
      </w:r>
      <w:r w:rsidR="003B21E0" w:rsidRPr="00634FEF">
        <w:t xml:space="preserve">$600 per unit or less. </w:t>
      </w:r>
    </w:p>
    <w:p w14:paraId="19870A54" w14:textId="77777777" w:rsidR="003B21E0" w:rsidRPr="00634FEF" w:rsidRDefault="00634FEF" w:rsidP="00634FEF">
      <w:pPr>
        <w:numPr>
          <w:ilvl w:val="0"/>
          <w:numId w:val="7"/>
        </w:numPr>
        <w:tabs>
          <w:tab w:val="clear" w:pos="720"/>
          <w:tab w:val="num" w:pos="450"/>
        </w:tabs>
        <w:spacing w:after="0" w:line="240" w:lineRule="auto"/>
        <w:ind w:left="450"/>
      </w:pPr>
      <w:r>
        <w:t xml:space="preserve">Properties with </w:t>
      </w:r>
      <w:r w:rsidR="003B21E0" w:rsidRPr="00634FEF">
        <w:t xml:space="preserve">51-100 </w:t>
      </w:r>
      <w:r>
        <w:t xml:space="preserve">resident </w:t>
      </w:r>
      <w:r w:rsidR="003B21E0" w:rsidRPr="00634FEF">
        <w:t>units</w:t>
      </w:r>
      <w:r>
        <w:t xml:space="preserve">:  </w:t>
      </w:r>
      <w:r w:rsidR="003B21E0" w:rsidRPr="00634FEF">
        <w:t xml:space="preserve">$450 per unit or less. </w:t>
      </w:r>
    </w:p>
    <w:p w14:paraId="6CA3E82B" w14:textId="77777777" w:rsidR="003B21E0" w:rsidRPr="00634FEF" w:rsidRDefault="00634FEF" w:rsidP="00634FEF">
      <w:pPr>
        <w:numPr>
          <w:ilvl w:val="0"/>
          <w:numId w:val="7"/>
        </w:numPr>
        <w:tabs>
          <w:tab w:val="clear" w:pos="720"/>
          <w:tab w:val="num" w:pos="450"/>
        </w:tabs>
        <w:spacing w:after="0" w:line="240" w:lineRule="auto"/>
        <w:ind w:left="450"/>
      </w:pPr>
      <w:r>
        <w:t xml:space="preserve">Properties with &gt; </w:t>
      </w:r>
      <w:r w:rsidR="003B21E0" w:rsidRPr="00634FEF">
        <w:t xml:space="preserve">101 </w:t>
      </w:r>
      <w:r>
        <w:t>resident</w:t>
      </w:r>
      <w:r w:rsidR="003B21E0" w:rsidRPr="00634FEF">
        <w:t xml:space="preserve"> units</w:t>
      </w:r>
      <w:r>
        <w:t xml:space="preserve">:  </w:t>
      </w:r>
      <w:r w:rsidR="003B21E0" w:rsidRPr="00634FEF">
        <w:t xml:space="preserve">$300 per unit or less. </w:t>
      </w:r>
    </w:p>
    <w:p w14:paraId="670EA78A" w14:textId="77777777" w:rsidR="00441657" w:rsidRPr="009A7F33" w:rsidRDefault="00B4219A" w:rsidP="00634FEF">
      <w:pPr>
        <w:spacing w:after="0" w:line="240" w:lineRule="auto"/>
      </w:pPr>
      <w:r w:rsidRPr="00634FEF">
        <w:t xml:space="preserve">Grantees must maintain and operate the network for a minimum </w:t>
      </w:r>
      <w:r w:rsidR="00634FEF">
        <w:t xml:space="preserve">of </w:t>
      </w:r>
      <w:r w:rsidRPr="00634FEF">
        <w:t>five years after receiving funding from the Commission.</w:t>
      </w:r>
    </w:p>
    <w:p w14:paraId="383E44F5" w14:textId="77777777" w:rsidR="00423E41" w:rsidRDefault="00423E41" w:rsidP="00634FEF">
      <w:pPr>
        <w:spacing w:line="240" w:lineRule="auto"/>
        <w:rPr>
          <w:b/>
        </w:rPr>
      </w:pPr>
      <w:r>
        <w:rPr>
          <w:b/>
        </w:rPr>
        <w:br w:type="page"/>
      </w:r>
    </w:p>
    <w:p w14:paraId="47E82D17" w14:textId="77777777" w:rsidR="00441657" w:rsidRPr="003B21E0" w:rsidRDefault="00441657" w:rsidP="00634FEF">
      <w:pPr>
        <w:spacing w:after="0" w:line="240" w:lineRule="auto"/>
        <w:rPr>
          <w:b/>
          <w:color w:val="F79646" w:themeColor="accent6"/>
        </w:rPr>
      </w:pPr>
      <w:r w:rsidRPr="003B21E0">
        <w:rPr>
          <w:b/>
          <w:color w:val="F79646" w:themeColor="accent6"/>
        </w:rPr>
        <w:lastRenderedPageBreak/>
        <w:t xml:space="preserve">Adoption </w:t>
      </w:r>
      <w:r w:rsidR="00333E13" w:rsidRPr="003B21E0">
        <w:rPr>
          <w:b/>
          <w:color w:val="F79646" w:themeColor="accent6"/>
        </w:rPr>
        <w:t>Grants</w:t>
      </w:r>
    </w:p>
    <w:p w14:paraId="3116AD23" w14:textId="77777777" w:rsidR="00423E41" w:rsidRDefault="00332923" w:rsidP="00634FEF">
      <w:pPr>
        <w:spacing w:after="0" w:line="240" w:lineRule="auto"/>
        <w:rPr>
          <w:rFonts w:eastAsia="Palatino Linotype" w:cs="Palatino Linotype"/>
        </w:rPr>
      </w:pPr>
      <w:r w:rsidRPr="009A7F33">
        <w:rPr>
          <w:rFonts w:eastAsia="Palatino Linotype" w:cs="Palatino Linotype"/>
        </w:rPr>
        <w:t>The Commission will fund up to 85</w:t>
      </w:r>
      <w:r w:rsidR="00B4219A">
        <w:rPr>
          <w:rFonts w:eastAsia="Palatino Linotype" w:cs="Palatino Linotype"/>
        </w:rPr>
        <w:t>%</w:t>
      </w:r>
      <w:r w:rsidRPr="009A7F33">
        <w:rPr>
          <w:rFonts w:eastAsia="Palatino Linotype" w:cs="Palatino Linotype"/>
        </w:rPr>
        <w:t xml:space="preserve"> of the costs for adoption projects for residents in publicly-subsidized housing and will reimburse the following expenses: </w:t>
      </w:r>
    </w:p>
    <w:p w14:paraId="4DFCF320" w14:textId="77777777" w:rsidR="009F5682" w:rsidRPr="009A7F33" w:rsidRDefault="00646A81" w:rsidP="00634FEF">
      <w:pPr>
        <w:numPr>
          <w:ilvl w:val="0"/>
          <w:numId w:val="7"/>
        </w:numPr>
        <w:tabs>
          <w:tab w:val="clear" w:pos="720"/>
          <w:tab w:val="num" w:pos="450"/>
        </w:tabs>
        <w:spacing w:after="0" w:line="240" w:lineRule="auto"/>
        <w:ind w:left="450"/>
      </w:pPr>
      <w:r w:rsidRPr="009A7F33">
        <w:t>Education and o</w:t>
      </w:r>
      <w:r w:rsidR="00423E41">
        <w:t>utreach efforts and materials.</w:t>
      </w:r>
    </w:p>
    <w:p w14:paraId="7C08038A" w14:textId="77777777" w:rsidR="009F5682" w:rsidRPr="009A7F33" w:rsidRDefault="00646A81" w:rsidP="00634FEF">
      <w:pPr>
        <w:numPr>
          <w:ilvl w:val="0"/>
          <w:numId w:val="7"/>
        </w:numPr>
        <w:tabs>
          <w:tab w:val="clear" w:pos="720"/>
          <w:tab w:val="num" w:pos="450"/>
        </w:tabs>
        <w:spacing w:after="0" w:line="240" w:lineRule="auto"/>
        <w:ind w:left="450"/>
      </w:pPr>
      <w:r w:rsidRPr="009A7F33">
        <w:t>Desks and chairs to furnish a designated space for digital literacy</w:t>
      </w:r>
      <w:r w:rsidR="00423E41">
        <w:t>.</w:t>
      </w:r>
      <w:r w:rsidRPr="009A7F33">
        <w:t xml:space="preserve"> </w:t>
      </w:r>
    </w:p>
    <w:p w14:paraId="5A7CBB12" w14:textId="77777777" w:rsidR="00423E41" w:rsidRDefault="00646A81" w:rsidP="00634FEF">
      <w:pPr>
        <w:numPr>
          <w:ilvl w:val="0"/>
          <w:numId w:val="7"/>
        </w:numPr>
        <w:tabs>
          <w:tab w:val="clear" w:pos="720"/>
          <w:tab w:val="num" w:pos="450"/>
        </w:tabs>
        <w:spacing w:after="0" w:line="240" w:lineRule="auto"/>
        <w:ind w:left="450"/>
      </w:pPr>
      <w:r w:rsidRPr="009A7F33">
        <w:t>Acceptable computers and devices (excluding smart</w:t>
      </w:r>
      <w:r w:rsidR="003B21E0">
        <w:t xml:space="preserve"> </w:t>
      </w:r>
      <w:r w:rsidRPr="009A7F33">
        <w:t>phones) and software intended for use either in a computer lab or their household</w:t>
      </w:r>
      <w:r w:rsidR="00423E41">
        <w:t>.</w:t>
      </w:r>
    </w:p>
    <w:p w14:paraId="7E2177C7" w14:textId="77777777" w:rsidR="009F5682" w:rsidRPr="009A7F33" w:rsidRDefault="00646A81" w:rsidP="00634FEF">
      <w:pPr>
        <w:numPr>
          <w:ilvl w:val="0"/>
          <w:numId w:val="7"/>
        </w:numPr>
        <w:tabs>
          <w:tab w:val="clear" w:pos="720"/>
          <w:tab w:val="num" w:pos="450"/>
        </w:tabs>
        <w:spacing w:after="0" w:line="240" w:lineRule="auto"/>
        <w:ind w:left="450"/>
      </w:pPr>
      <w:r w:rsidRPr="009A7F33">
        <w:t xml:space="preserve">Digital </w:t>
      </w:r>
      <w:r w:rsidR="00423E41">
        <w:t>l</w:t>
      </w:r>
      <w:r w:rsidRPr="009A7F33">
        <w:t>iteracy instructors</w:t>
      </w:r>
      <w:r w:rsidR="00423E41">
        <w:t>.</w:t>
      </w:r>
      <w:r w:rsidRPr="009A7F33">
        <w:t xml:space="preserve">   </w:t>
      </w:r>
    </w:p>
    <w:p w14:paraId="64FD101E" w14:textId="77777777" w:rsidR="009F5682" w:rsidRPr="009A7F33" w:rsidRDefault="00646A81" w:rsidP="00634FEF">
      <w:pPr>
        <w:numPr>
          <w:ilvl w:val="0"/>
          <w:numId w:val="7"/>
        </w:numPr>
        <w:tabs>
          <w:tab w:val="clear" w:pos="720"/>
          <w:tab w:val="num" w:pos="450"/>
        </w:tabs>
        <w:spacing w:after="0" w:line="240" w:lineRule="auto"/>
        <w:ind w:left="450"/>
      </w:pPr>
      <w:r w:rsidRPr="009A7F33">
        <w:t>Printers for a computer lab or other designated space for digital literacy</w:t>
      </w:r>
      <w:r w:rsidR="00423E41">
        <w:t>.</w:t>
      </w:r>
      <w:r w:rsidRPr="009A7F33">
        <w:t xml:space="preserve"> </w:t>
      </w:r>
    </w:p>
    <w:p w14:paraId="5B602E6E" w14:textId="77777777" w:rsidR="009F5682" w:rsidRPr="009A7F33" w:rsidRDefault="00646A81" w:rsidP="00634FEF">
      <w:pPr>
        <w:numPr>
          <w:ilvl w:val="0"/>
          <w:numId w:val="7"/>
        </w:numPr>
        <w:tabs>
          <w:tab w:val="clear" w:pos="720"/>
          <w:tab w:val="num" w:pos="450"/>
        </w:tabs>
        <w:spacing w:after="0" w:line="240" w:lineRule="auto"/>
        <w:ind w:left="450"/>
      </w:pPr>
      <w:r w:rsidRPr="009A7F33">
        <w:t>Routers</w:t>
      </w:r>
      <w:r w:rsidR="00423E41">
        <w:t>.</w:t>
      </w:r>
    </w:p>
    <w:p w14:paraId="13E22282" w14:textId="77777777" w:rsidR="009F5682" w:rsidRPr="009A7F33" w:rsidRDefault="00646A81" w:rsidP="00634FEF">
      <w:pPr>
        <w:numPr>
          <w:ilvl w:val="0"/>
          <w:numId w:val="7"/>
        </w:numPr>
        <w:tabs>
          <w:tab w:val="clear" w:pos="720"/>
          <w:tab w:val="num" w:pos="450"/>
        </w:tabs>
        <w:spacing w:after="0" w:line="240" w:lineRule="auto"/>
        <w:ind w:left="450"/>
      </w:pPr>
      <w:r w:rsidRPr="009A7F33">
        <w:t>Provision of residential (not network) technical support</w:t>
      </w:r>
      <w:r w:rsidR="00423E41">
        <w:t>.</w:t>
      </w:r>
    </w:p>
    <w:p w14:paraId="655281F5" w14:textId="77777777" w:rsidR="00333E13" w:rsidRPr="009A7F33" w:rsidRDefault="00333E13" w:rsidP="00634FEF">
      <w:pPr>
        <w:spacing w:after="0" w:line="240" w:lineRule="auto"/>
      </w:pPr>
    </w:p>
    <w:p w14:paraId="29507EB4" w14:textId="77777777" w:rsidR="009B19E4" w:rsidRPr="003B21E0" w:rsidRDefault="00966B48" w:rsidP="00634FEF">
      <w:pPr>
        <w:spacing w:after="0" w:line="240" w:lineRule="auto"/>
        <w:rPr>
          <w:color w:val="F79646" w:themeColor="accent6"/>
        </w:rPr>
      </w:pPr>
      <w:r w:rsidRPr="003B21E0">
        <w:rPr>
          <w:b/>
          <w:color w:val="F79646" w:themeColor="accent6"/>
        </w:rPr>
        <w:t>Review Process</w:t>
      </w:r>
    </w:p>
    <w:tbl>
      <w:tblPr>
        <w:tblStyle w:val="ColorfulList-Accent5"/>
        <w:tblW w:w="9270" w:type="dxa"/>
        <w:tblLook w:val="04A0" w:firstRow="1" w:lastRow="0" w:firstColumn="1" w:lastColumn="0" w:noHBand="0" w:noVBand="1"/>
      </w:tblPr>
      <w:tblGrid>
        <w:gridCol w:w="4698"/>
        <w:gridCol w:w="4572"/>
      </w:tblGrid>
      <w:tr w:rsidR="009B19E4" w:rsidRPr="009A7F33" w14:paraId="6C62252A" w14:textId="77777777" w:rsidTr="00B4219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698" w:type="dxa"/>
          </w:tcPr>
          <w:p w14:paraId="10198C0C" w14:textId="77777777" w:rsidR="009A7F33" w:rsidRPr="00B4219A" w:rsidRDefault="00966B48" w:rsidP="00634FEF">
            <w:pPr>
              <w:rPr>
                <w:b w:val="0"/>
                <w:bCs w:val="0"/>
              </w:rPr>
            </w:pPr>
            <w:r w:rsidRPr="00B4219A">
              <w:rPr>
                <w:b w:val="0"/>
                <w:bCs w:val="0"/>
              </w:rPr>
              <w:t xml:space="preserve">   </w:t>
            </w:r>
          </w:p>
          <w:p w14:paraId="3F1E54DE" w14:textId="77777777" w:rsidR="009B19E4" w:rsidRPr="00B4219A" w:rsidRDefault="009B19E4" w:rsidP="00634FEF">
            <w:r w:rsidRPr="00B4219A">
              <w:t xml:space="preserve">Expedited Review </w:t>
            </w:r>
          </w:p>
          <w:p w14:paraId="09AA9E72" w14:textId="77777777" w:rsidR="009A7F33" w:rsidRPr="00B4219A" w:rsidRDefault="009A7F33" w:rsidP="00634FEF"/>
        </w:tc>
        <w:tc>
          <w:tcPr>
            <w:tcW w:w="4572" w:type="dxa"/>
            <w:hideMark/>
          </w:tcPr>
          <w:p w14:paraId="718D2E10" w14:textId="77777777" w:rsidR="009A7F33" w:rsidRPr="00B4219A" w:rsidRDefault="009A7F33" w:rsidP="00634FEF">
            <w:pPr>
              <w:cnfStyle w:val="100000000000" w:firstRow="1" w:lastRow="0" w:firstColumn="0" w:lastColumn="0" w:oddVBand="0" w:evenVBand="0" w:oddHBand="0" w:evenHBand="0" w:firstRowFirstColumn="0" w:firstRowLastColumn="0" w:lastRowFirstColumn="0" w:lastRowLastColumn="0"/>
            </w:pPr>
          </w:p>
          <w:p w14:paraId="502D13EC" w14:textId="77777777" w:rsidR="009B19E4" w:rsidRPr="00B4219A" w:rsidRDefault="009B19E4" w:rsidP="00634FEF">
            <w:pPr>
              <w:cnfStyle w:val="100000000000" w:firstRow="1" w:lastRow="0" w:firstColumn="0" w:lastColumn="0" w:oddVBand="0" w:evenVBand="0" w:oddHBand="0" w:evenHBand="0" w:firstRowFirstColumn="0" w:firstRowLastColumn="0" w:lastRowFirstColumn="0" w:lastRowLastColumn="0"/>
            </w:pPr>
            <w:r w:rsidRPr="00B4219A">
              <w:t xml:space="preserve">Resolution </w:t>
            </w:r>
          </w:p>
        </w:tc>
      </w:tr>
      <w:tr w:rsidR="009B19E4" w:rsidRPr="00517E1A" w14:paraId="47559702" w14:textId="77777777" w:rsidTr="00B4219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98" w:type="dxa"/>
            <w:shd w:val="clear" w:color="auto" w:fill="FDE9D9" w:themeFill="accent6" w:themeFillTint="33"/>
          </w:tcPr>
          <w:p w14:paraId="0C38B3B2" w14:textId="77777777" w:rsidR="009B19E4" w:rsidRPr="00FA661F" w:rsidRDefault="009B19E4" w:rsidP="00FA661F">
            <w:pPr>
              <w:pStyle w:val="ListParagraph"/>
              <w:numPr>
                <w:ilvl w:val="0"/>
                <w:numId w:val="9"/>
              </w:numPr>
              <w:ind w:left="540"/>
              <w:rPr>
                <w:b w:val="0"/>
              </w:rPr>
            </w:pPr>
            <w:r w:rsidRPr="00FA661F">
              <w:rPr>
                <w:b w:val="0"/>
              </w:rPr>
              <w:t xml:space="preserve">Staff Approved </w:t>
            </w:r>
          </w:p>
          <w:p w14:paraId="76527BD1" w14:textId="77777777" w:rsidR="00FA661F" w:rsidRPr="00FA661F" w:rsidRDefault="00FA661F" w:rsidP="00FA661F">
            <w:pPr>
              <w:pStyle w:val="ListParagraph"/>
              <w:numPr>
                <w:ilvl w:val="0"/>
                <w:numId w:val="9"/>
              </w:numPr>
              <w:ind w:left="540"/>
            </w:pPr>
            <w:r w:rsidRPr="00FA661F">
              <w:rPr>
                <w:b w:val="0"/>
              </w:rPr>
              <w:t xml:space="preserve">Expected to Be Approved in </w:t>
            </w:r>
            <w:r>
              <w:rPr>
                <w:b w:val="0"/>
              </w:rPr>
              <w:t xml:space="preserve">approx. </w:t>
            </w:r>
            <w:r w:rsidRPr="00FA661F">
              <w:rPr>
                <w:b w:val="0"/>
              </w:rPr>
              <w:t>90 days</w:t>
            </w:r>
          </w:p>
        </w:tc>
        <w:tc>
          <w:tcPr>
            <w:tcW w:w="4572" w:type="dxa"/>
            <w:shd w:val="clear" w:color="auto" w:fill="FDE9D9" w:themeFill="accent6" w:themeFillTint="33"/>
            <w:hideMark/>
          </w:tcPr>
          <w:p w14:paraId="5564FE0E" w14:textId="77777777" w:rsidR="009B19E4" w:rsidRDefault="009B19E4" w:rsidP="00FA661F">
            <w:pPr>
              <w:pStyle w:val="ListParagraph"/>
              <w:numPr>
                <w:ilvl w:val="0"/>
                <w:numId w:val="9"/>
              </w:numPr>
              <w:ind w:left="342"/>
              <w:cnfStyle w:val="000000100000" w:firstRow="0" w:lastRow="0" w:firstColumn="0" w:lastColumn="0" w:oddVBand="0" w:evenVBand="0" w:oddHBand="1" w:evenHBand="0" w:firstRowFirstColumn="0" w:firstRowLastColumn="0" w:lastRowFirstColumn="0" w:lastRowLastColumn="0"/>
            </w:pPr>
            <w:r w:rsidRPr="00FA661F">
              <w:t xml:space="preserve">Commission Approved </w:t>
            </w:r>
          </w:p>
          <w:p w14:paraId="1E73461D" w14:textId="77777777" w:rsidR="00FA661F" w:rsidRPr="00FA661F" w:rsidRDefault="00FA661F" w:rsidP="00FA661F">
            <w:pPr>
              <w:pStyle w:val="ListParagraph"/>
              <w:numPr>
                <w:ilvl w:val="0"/>
                <w:numId w:val="9"/>
              </w:numPr>
              <w:ind w:left="342"/>
              <w:cnfStyle w:val="000000100000" w:firstRow="0" w:lastRow="0" w:firstColumn="0" w:lastColumn="0" w:oddVBand="0" w:evenVBand="0" w:oddHBand="1" w:evenHBand="0" w:firstRowFirstColumn="0" w:firstRowLastColumn="0" w:lastRowFirstColumn="0" w:lastRowLastColumn="0"/>
            </w:pPr>
            <w:r>
              <w:t>Expected to Be Approved in approx.  4-6 Weeks After 90 Days</w:t>
            </w:r>
          </w:p>
        </w:tc>
      </w:tr>
      <w:tr w:rsidR="009B19E4" w:rsidRPr="00517E1A" w14:paraId="06396C26" w14:textId="77777777" w:rsidTr="00B4219A">
        <w:trPr>
          <w:trHeight w:val="584"/>
        </w:trPr>
        <w:tc>
          <w:tcPr>
            <w:cnfStyle w:val="001000000000" w:firstRow="0" w:lastRow="0" w:firstColumn="1" w:lastColumn="0" w:oddVBand="0" w:evenVBand="0" w:oddHBand="0" w:evenHBand="0" w:firstRowFirstColumn="0" w:firstRowLastColumn="0" w:lastRowFirstColumn="0" w:lastRowLastColumn="0"/>
            <w:tcW w:w="4698" w:type="dxa"/>
            <w:shd w:val="clear" w:color="auto" w:fill="FBD4B4" w:themeFill="accent6" w:themeFillTint="66"/>
          </w:tcPr>
          <w:p w14:paraId="398F04B7" w14:textId="77777777" w:rsidR="00966B48" w:rsidRPr="00517E1A" w:rsidRDefault="00966B48" w:rsidP="00634FEF">
            <w:pPr>
              <w:rPr>
                <w:b w:val="0"/>
              </w:rPr>
            </w:pPr>
            <w:r w:rsidRPr="00517E1A">
              <w:rPr>
                <w:b w:val="0"/>
              </w:rPr>
              <w:t xml:space="preserve">   </w:t>
            </w:r>
            <w:r w:rsidR="009B19E4" w:rsidRPr="00517E1A">
              <w:rPr>
                <w:b w:val="0"/>
              </w:rPr>
              <w:t xml:space="preserve">Must conform to all 17 criteria for infrastructure </w:t>
            </w:r>
            <w:r w:rsidRPr="00517E1A">
              <w:rPr>
                <w:b w:val="0"/>
              </w:rPr>
              <w:t xml:space="preserve"> </w:t>
            </w:r>
          </w:p>
          <w:p w14:paraId="3EB4A3EB" w14:textId="77777777" w:rsidR="009A7F33" w:rsidRDefault="00966B48" w:rsidP="00634FEF">
            <w:pPr>
              <w:rPr>
                <w:b w:val="0"/>
              </w:rPr>
            </w:pPr>
            <w:r w:rsidRPr="00517E1A">
              <w:rPr>
                <w:b w:val="0"/>
              </w:rPr>
              <w:t xml:space="preserve">   </w:t>
            </w:r>
            <w:r w:rsidR="009B19E4" w:rsidRPr="00517E1A">
              <w:rPr>
                <w:b w:val="0"/>
              </w:rPr>
              <w:t xml:space="preserve">projects </w:t>
            </w:r>
            <w:r w:rsidR="00B14EF6" w:rsidRPr="00517E1A">
              <w:rPr>
                <w:b w:val="0"/>
              </w:rPr>
              <w:t>and/</w:t>
            </w:r>
            <w:r w:rsidR="009B19E4" w:rsidRPr="00517E1A">
              <w:rPr>
                <w:b w:val="0"/>
              </w:rPr>
              <w:t xml:space="preserve">or all 11 criteria for adoption </w:t>
            </w:r>
            <w:r w:rsidR="009A7F33">
              <w:rPr>
                <w:b w:val="0"/>
              </w:rPr>
              <w:t xml:space="preserve"> </w:t>
            </w:r>
          </w:p>
          <w:p w14:paraId="33013421" w14:textId="77777777" w:rsidR="00966B48" w:rsidRPr="00517E1A" w:rsidRDefault="009A7F33" w:rsidP="00634FEF">
            <w:pPr>
              <w:rPr>
                <w:b w:val="0"/>
              </w:rPr>
            </w:pPr>
            <w:r>
              <w:rPr>
                <w:b w:val="0"/>
              </w:rPr>
              <w:t xml:space="preserve">   </w:t>
            </w:r>
            <w:r w:rsidR="009B19E4" w:rsidRPr="00517E1A">
              <w:rPr>
                <w:b w:val="0"/>
              </w:rPr>
              <w:t>projects</w:t>
            </w:r>
            <w:r w:rsidR="00966B48" w:rsidRPr="00517E1A">
              <w:rPr>
                <w:b w:val="0"/>
              </w:rPr>
              <w:t xml:space="preserve">,  </w:t>
            </w:r>
            <w:r w:rsidR="00B14EF6" w:rsidRPr="00517E1A">
              <w:rPr>
                <w:b w:val="0"/>
              </w:rPr>
              <w:t>including</w:t>
            </w:r>
            <w:r w:rsidR="00966B48" w:rsidRPr="00517E1A">
              <w:rPr>
                <w:b w:val="0"/>
              </w:rPr>
              <w:t>:</w:t>
            </w:r>
          </w:p>
          <w:p w14:paraId="5039B3F3" w14:textId="77777777" w:rsidR="00966B48" w:rsidRPr="00517E1A" w:rsidRDefault="00966B48" w:rsidP="00634FEF">
            <w:pPr>
              <w:pStyle w:val="ListParagraph"/>
              <w:numPr>
                <w:ilvl w:val="0"/>
                <w:numId w:val="8"/>
              </w:numPr>
              <w:ind w:left="504"/>
              <w:rPr>
                <w:b w:val="0"/>
              </w:rPr>
            </w:pPr>
            <w:r w:rsidRPr="00517E1A">
              <w:rPr>
                <w:b w:val="0"/>
              </w:rPr>
              <w:t xml:space="preserve">$75,000 max. </w:t>
            </w:r>
            <w:proofErr w:type="gramStart"/>
            <w:r w:rsidRPr="00517E1A">
              <w:rPr>
                <w:b w:val="0"/>
              </w:rPr>
              <w:t>per</w:t>
            </w:r>
            <w:proofErr w:type="gramEnd"/>
            <w:r w:rsidRPr="00517E1A">
              <w:rPr>
                <w:b w:val="0"/>
              </w:rPr>
              <w:t xml:space="preserve"> property for Infrastructure Applications.</w:t>
            </w:r>
          </w:p>
          <w:p w14:paraId="50B94293" w14:textId="77777777" w:rsidR="009B19E4" w:rsidRPr="00517E1A" w:rsidRDefault="00966B48" w:rsidP="00634FEF">
            <w:pPr>
              <w:pStyle w:val="ListParagraph"/>
              <w:numPr>
                <w:ilvl w:val="0"/>
                <w:numId w:val="8"/>
              </w:numPr>
              <w:ind w:left="504"/>
            </w:pPr>
            <w:r w:rsidRPr="00517E1A">
              <w:rPr>
                <w:b w:val="0"/>
              </w:rPr>
              <w:t xml:space="preserve">$50,000 max. </w:t>
            </w:r>
            <w:proofErr w:type="gramStart"/>
            <w:r w:rsidRPr="00517E1A">
              <w:rPr>
                <w:b w:val="0"/>
              </w:rPr>
              <w:t>per</w:t>
            </w:r>
            <w:proofErr w:type="gramEnd"/>
            <w:r w:rsidRPr="00517E1A">
              <w:rPr>
                <w:b w:val="0"/>
              </w:rPr>
              <w:t xml:space="preserve"> property for Adoption Applications.</w:t>
            </w:r>
            <w:r w:rsidR="009B19E4" w:rsidRPr="00517E1A">
              <w:t xml:space="preserve"> </w:t>
            </w:r>
          </w:p>
          <w:p w14:paraId="6E3BDE50" w14:textId="77777777" w:rsidR="00966B48" w:rsidRPr="00517E1A" w:rsidRDefault="00966B48" w:rsidP="00634FEF"/>
        </w:tc>
        <w:tc>
          <w:tcPr>
            <w:tcW w:w="4572" w:type="dxa"/>
            <w:shd w:val="clear" w:color="auto" w:fill="FBD4B4" w:themeFill="accent6" w:themeFillTint="66"/>
            <w:hideMark/>
          </w:tcPr>
          <w:p w14:paraId="09CC85E6" w14:textId="77777777" w:rsidR="009B19E4" w:rsidRPr="00517E1A" w:rsidRDefault="009B19E4" w:rsidP="00634FEF">
            <w:pPr>
              <w:cnfStyle w:val="000000000000" w:firstRow="0" w:lastRow="0" w:firstColumn="0" w:lastColumn="0" w:oddVBand="0" w:evenVBand="0" w:oddHBand="0" w:evenHBand="0" w:firstRowFirstColumn="0" w:firstRowLastColumn="0" w:lastRowFirstColumn="0" w:lastRowLastColumn="0"/>
            </w:pPr>
            <w:r w:rsidRPr="00517E1A">
              <w:t>Does not conform to one or more of the 17 criteria for infrastructure projects or the 11 criteria for adoption projects</w:t>
            </w:r>
            <w:r w:rsidR="00B4219A">
              <w:t xml:space="preserve"> (e.g. It will cost more than $75,000 to install a broadband network in large properties)</w:t>
            </w:r>
            <w:r w:rsidR="00B14EF6" w:rsidRPr="00517E1A">
              <w:t>.</w:t>
            </w:r>
            <w:r w:rsidRPr="00517E1A">
              <w:t xml:space="preserve"> </w:t>
            </w:r>
          </w:p>
        </w:tc>
      </w:tr>
    </w:tbl>
    <w:p w14:paraId="63F6ABFE" w14:textId="77777777" w:rsidR="00441657" w:rsidRPr="00517E1A" w:rsidRDefault="00441657" w:rsidP="00634FEF">
      <w:pPr>
        <w:spacing w:after="0" w:line="240" w:lineRule="auto"/>
        <w:rPr>
          <w:color w:val="E36C0A" w:themeColor="accent6" w:themeShade="BF"/>
        </w:rPr>
      </w:pPr>
    </w:p>
    <w:p w14:paraId="09312657" w14:textId="676E58B7" w:rsidR="00441657" w:rsidRPr="003B21E0" w:rsidRDefault="00773FAE" w:rsidP="00634FEF">
      <w:pPr>
        <w:spacing w:after="0" w:line="240" w:lineRule="auto"/>
        <w:rPr>
          <w:b/>
          <w:color w:val="F79646" w:themeColor="accent6"/>
        </w:rPr>
      </w:pPr>
      <w:r>
        <w:rPr>
          <w:noProof/>
          <w:color w:val="F79646" w:themeColor="accent6"/>
        </w:rPr>
        <mc:AlternateContent>
          <mc:Choice Requires="wps">
            <w:drawing>
              <wp:anchor distT="0" distB="0" distL="114300" distR="114300" simplePos="0" relativeHeight="251664384" behindDoc="0" locked="0" layoutInCell="1" allowOverlap="1" wp14:anchorId="2EDF3CF3" wp14:editId="44A0C9E6">
                <wp:simplePos x="0" y="0"/>
                <wp:positionH relativeFrom="column">
                  <wp:posOffset>1788160</wp:posOffset>
                </wp:positionH>
                <wp:positionV relativeFrom="paragraph">
                  <wp:posOffset>116840</wp:posOffset>
                </wp:positionV>
                <wp:extent cx="2366645" cy="676275"/>
                <wp:effectExtent l="0" t="2540" r="1079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676275"/>
                        </a:xfrm>
                        <a:prstGeom prst="rect">
                          <a:avLst/>
                        </a:prstGeom>
                        <a:solidFill>
                          <a:srgbClr val="FFFFFF"/>
                        </a:solidFill>
                        <a:ln w="9525">
                          <a:solidFill>
                            <a:schemeClr val="bg1">
                              <a:lumMod val="100000"/>
                              <a:lumOff val="0"/>
                            </a:schemeClr>
                          </a:solidFill>
                          <a:miter lim="800000"/>
                          <a:headEnd/>
                          <a:tailEnd/>
                        </a:ln>
                      </wps:spPr>
                      <wps:txbx>
                        <w:txbxContent>
                          <w:p w14:paraId="2B4A9937" w14:textId="77777777" w:rsidR="00423E41" w:rsidRPr="006C23E5" w:rsidRDefault="00423E41" w:rsidP="00423E41">
                            <w:pPr>
                              <w:numPr>
                                <w:ilvl w:val="1"/>
                                <w:numId w:val="5"/>
                              </w:numPr>
                              <w:tabs>
                                <w:tab w:val="clear" w:pos="1440"/>
                                <w:tab w:val="num" w:pos="450"/>
                              </w:tabs>
                              <w:spacing w:after="0"/>
                              <w:ind w:left="360"/>
                            </w:pPr>
                            <w:r w:rsidRPr="006C23E5">
                              <w:t>April 1, 2016</w:t>
                            </w:r>
                          </w:p>
                          <w:p w14:paraId="67E4AF5D" w14:textId="77777777" w:rsidR="00423E41" w:rsidRPr="006C23E5" w:rsidRDefault="00423E41" w:rsidP="00423E41">
                            <w:pPr>
                              <w:numPr>
                                <w:ilvl w:val="1"/>
                                <w:numId w:val="5"/>
                              </w:numPr>
                              <w:tabs>
                                <w:tab w:val="clear" w:pos="1440"/>
                                <w:tab w:val="num" w:pos="450"/>
                              </w:tabs>
                              <w:spacing w:after="0"/>
                              <w:ind w:left="360"/>
                            </w:pPr>
                            <w:r w:rsidRPr="006C23E5">
                              <w:t>July 1, 2016</w:t>
                            </w:r>
                          </w:p>
                          <w:p w14:paraId="4B288190" w14:textId="77777777" w:rsidR="00423E41" w:rsidRPr="006C23E5" w:rsidRDefault="00423E41" w:rsidP="00423E41">
                            <w:pPr>
                              <w:numPr>
                                <w:ilvl w:val="1"/>
                                <w:numId w:val="5"/>
                              </w:numPr>
                              <w:tabs>
                                <w:tab w:val="clear" w:pos="1440"/>
                                <w:tab w:val="num" w:pos="450"/>
                              </w:tabs>
                              <w:spacing w:after="0"/>
                              <w:ind w:left="360"/>
                            </w:pPr>
                            <w:r w:rsidRPr="006C23E5">
                              <w:t>October 1, 2016</w:t>
                            </w:r>
                          </w:p>
                          <w:p w14:paraId="6BFF5809" w14:textId="77777777" w:rsidR="00423E41" w:rsidRDefault="00423E4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140.8pt;margin-top:9.2pt;width:186.35pt;height:53.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" strokecolor="white [3212]">
                <v:textbox>
                  <w:txbxContent>
                    <w:p w14:paraId="2B4A9937" w14:textId="77777777" w:rsidR="00423E41" w:rsidRPr="006C23E5" w:rsidRDefault="00423E41" w:rsidP="00423E41">
                      <w:pPr>
                        <w:numPr>
                          <w:ilvl w:val="1"/>
                          <w:numId w:val="5"/>
                        </w:numPr>
                        <w:tabs>
                          <w:tab w:val="clear" w:pos="1440"/>
                          <w:tab w:val="num" w:pos="450"/>
                        </w:tabs>
                        <w:spacing w:after="0"/>
                        <w:ind w:left="360"/>
                      </w:pPr>
                      <w:r w:rsidRPr="006C23E5">
                        <w:t>April 1, 2016</w:t>
                      </w:r>
                    </w:p>
                    <w:p w14:paraId="67E4AF5D" w14:textId="77777777" w:rsidR="00423E41" w:rsidRPr="006C23E5" w:rsidRDefault="00423E41" w:rsidP="00423E41">
                      <w:pPr>
                        <w:numPr>
                          <w:ilvl w:val="1"/>
                          <w:numId w:val="5"/>
                        </w:numPr>
                        <w:tabs>
                          <w:tab w:val="clear" w:pos="1440"/>
                          <w:tab w:val="num" w:pos="450"/>
                        </w:tabs>
                        <w:spacing w:after="0"/>
                        <w:ind w:left="360"/>
                      </w:pPr>
                      <w:r w:rsidRPr="006C23E5">
                        <w:t>July 1, 2016</w:t>
                      </w:r>
                    </w:p>
                    <w:p w14:paraId="4B288190" w14:textId="77777777" w:rsidR="00423E41" w:rsidRPr="006C23E5" w:rsidRDefault="00423E41" w:rsidP="00423E41">
                      <w:pPr>
                        <w:numPr>
                          <w:ilvl w:val="1"/>
                          <w:numId w:val="5"/>
                        </w:numPr>
                        <w:tabs>
                          <w:tab w:val="clear" w:pos="1440"/>
                          <w:tab w:val="num" w:pos="450"/>
                        </w:tabs>
                        <w:spacing w:after="0"/>
                        <w:ind w:left="360"/>
                      </w:pPr>
                      <w:r w:rsidRPr="006C23E5">
                        <w:t>October 1, 2016</w:t>
                      </w:r>
                    </w:p>
                    <w:p w14:paraId="6BFF5809" w14:textId="77777777" w:rsidR="00423E41" w:rsidRDefault="00423E41"/>
                  </w:txbxContent>
                </v:textbox>
              </v:shape>
            </w:pict>
          </mc:Fallback>
        </mc:AlternateContent>
      </w:r>
      <w:r w:rsidR="00966B48" w:rsidRPr="003B21E0">
        <w:rPr>
          <w:b/>
          <w:color w:val="F79646" w:themeColor="accent6"/>
        </w:rPr>
        <w:t>Application Deadlines</w:t>
      </w:r>
    </w:p>
    <w:p w14:paraId="3D987CC5" w14:textId="77777777" w:rsidR="009F5682" w:rsidRPr="006C23E5" w:rsidRDefault="00646A81" w:rsidP="00634FEF">
      <w:pPr>
        <w:numPr>
          <w:ilvl w:val="1"/>
          <w:numId w:val="5"/>
        </w:numPr>
        <w:tabs>
          <w:tab w:val="clear" w:pos="1440"/>
          <w:tab w:val="num" w:pos="450"/>
        </w:tabs>
        <w:spacing w:after="0" w:line="240" w:lineRule="auto"/>
        <w:ind w:left="360"/>
      </w:pPr>
      <w:r w:rsidRPr="006C23E5">
        <w:t>July 1, 2015</w:t>
      </w:r>
      <w:r w:rsidR="00423E41">
        <w:t xml:space="preserve"> </w:t>
      </w:r>
    </w:p>
    <w:p w14:paraId="1DF76F01" w14:textId="77777777" w:rsidR="009F5682" w:rsidRPr="006C23E5" w:rsidRDefault="00646A81" w:rsidP="00634FEF">
      <w:pPr>
        <w:numPr>
          <w:ilvl w:val="1"/>
          <w:numId w:val="5"/>
        </w:numPr>
        <w:tabs>
          <w:tab w:val="clear" w:pos="1440"/>
          <w:tab w:val="num" w:pos="450"/>
        </w:tabs>
        <w:spacing w:after="0" w:line="240" w:lineRule="auto"/>
        <w:ind w:left="360"/>
      </w:pPr>
      <w:r w:rsidRPr="006C23E5">
        <w:t>October 1, 2015</w:t>
      </w:r>
    </w:p>
    <w:p w14:paraId="386A403F" w14:textId="77777777" w:rsidR="009F5682" w:rsidRPr="006C23E5" w:rsidRDefault="00646A81" w:rsidP="00634FEF">
      <w:pPr>
        <w:numPr>
          <w:ilvl w:val="1"/>
          <w:numId w:val="5"/>
        </w:numPr>
        <w:tabs>
          <w:tab w:val="clear" w:pos="1440"/>
          <w:tab w:val="num" w:pos="450"/>
        </w:tabs>
        <w:spacing w:after="0" w:line="240" w:lineRule="auto"/>
        <w:ind w:left="360"/>
      </w:pPr>
      <w:r w:rsidRPr="006C23E5">
        <w:t xml:space="preserve">January 1, 2016 </w:t>
      </w:r>
    </w:p>
    <w:p w14:paraId="5F2F8448" w14:textId="77777777" w:rsidR="00966B48" w:rsidRPr="006C23E5" w:rsidRDefault="00966B48" w:rsidP="00634FEF">
      <w:pPr>
        <w:spacing w:after="0" w:line="240" w:lineRule="auto"/>
        <w:rPr>
          <w:b/>
        </w:rPr>
      </w:pPr>
    </w:p>
    <w:p w14:paraId="3CF29E5D" w14:textId="77777777" w:rsidR="00441657" w:rsidRPr="003B21E0" w:rsidRDefault="00966B48" w:rsidP="00634FEF">
      <w:pPr>
        <w:spacing w:after="0" w:line="240" w:lineRule="auto"/>
        <w:rPr>
          <w:b/>
          <w:color w:val="F79646" w:themeColor="accent6"/>
        </w:rPr>
      </w:pPr>
      <w:r w:rsidRPr="003B21E0">
        <w:rPr>
          <w:b/>
          <w:color w:val="F79646" w:themeColor="accent6"/>
        </w:rPr>
        <w:t>Filing Applications</w:t>
      </w:r>
    </w:p>
    <w:p w14:paraId="42B23851" w14:textId="77777777" w:rsidR="009F5682" w:rsidRPr="006C23E5" w:rsidRDefault="00646A81" w:rsidP="00634FEF">
      <w:pPr>
        <w:spacing w:after="0" w:line="240" w:lineRule="auto"/>
      </w:pPr>
      <w:r w:rsidRPr="006C23E5">
        <w:t xml:space="preserve">To access application template, instructions, guidelines and other useful information, go to: </w:t>
      </w:r>
    </w:p>
    <w:p w14:paraId="4A274FCB" w14:textId="77777777" w:rsidR="00966B48" w:rsidRDefault="00D814F0" w:rsidP="00634FEF">
      <w:pPr>
        <w:spacing w:after="0" w:line="240" w:lineRule="auto"/>
      </w:pPr>
      <w:hyperlink r:id="rId8" w:history="1">
        <w:r w:rsidR="003B21E0" w:rsidRPr="00EE336B">
          <w:rPr>
            <w:rStyle w:val="Hyperlink"/>
          </w:rPr>
          <w:t>http://www.cpuc.ca.gov/PUC/Telco/Information+for+providing+service/CASF/Public+Housing+Account.htm</w:t>
        </w:r>
      </w:hyperlink>
    </w:p>
    <w:p w14:paraId="612D0CD0" w14:textId="77777777" w:rsidR="003B21E0" w:rsidRDefault="003B21E0" w:rsidP="00634FEF">
      <w:pPr>
        <w:spacing w:after="0" w:line="240" w:lineRule="auto"/>
      </w:pPr>
    </w:p>
    <w:p w14:paraId="18518140" w14:textId="77777777" w:rsidR="00441657" w:rsidRPr="00517E1A" w:rsidRDefault="00441657" w:rsidP="00634FEF">
      <w:pPr>
        <w:spacing w:after="0" w:line="240" w:lineRule="auto"/>
      </w:pPr>
      <w:r w:rsidRPr="003B21E0">
        <w:rPr>
          <w:b/>
          <w:color w:val="F79646" w:themeColor="accent6"/>
        </w:rPr>
        <w:t>Send questions to</w:t>
      </w:r>
      <w:r w:rsidRPr="00517E1A">
        <w:t xml:space="preserve"> </w:t>
      </w:r>
      <w:hyperlink r:id="rId9" w:history="1">
        <w:r w:rsidRPr="00517E1A">
          <w:rPr>
            <w:rStyle w:val="Hyperlink"/>
          </w:rPr>
          <w:t>CPUC_Housing@cpuc.ca.gov</w:t>
        </w:r>
      </w:hyperlink>
    </w:p>
    <w:p w14:paraId="09D82721" w14:textId="7C447DCC" w:rsidR="00914AD1" w:rsidRPr="00517E1A" w:rsidRDefault="00773FAE" w:rsidP="00634FEF">
      <w:pPr>
        <w:spacing w:after="0" w:line="240" w:lineRule="auto"/>
      </w:pPr>
      <w:r>
        <w:rPr>
          <w:noProof/>
        </w:rPr>
        <mc:AlternateContent>
          <mc:Choice Requires="wps">
            <w:drawing>
              <wp:anchor distT="0" distB="0" distL="114300" distR="114300" simplePos="0" relativeHeight="251660288" behindDoc="0" locked="0" layoutInCell="1" allowOverlap="1" wp14:anchorId="4532082D" wp14:editId="45B2ED40">
                <wp:simplePos x="0" y="0"/>
                <wp:positionH relativeFrom="column">
                  <wp:posOffset>19685</wp:posOffset>
                </wp:positionH>
                <wp:positionV relativeFrom="paragraph">
                  <wp:posOffset>96520</wp:posOffset>
                </wp:positionV>
                <wp:extent cx="6480810" cy="1628140"/>
                <wp:effectExtent l="0" t="0" r="146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628140"/>
                        </a:xfrm>
                        <a:prstGeom prst="rect">
                          <a:avLst/>
                        </a:prstGeom>
                        <a:solidFill>
                          <a:srgbClr val="FFFFFF"/>
                        </a:solidFill>
                        <a:ln w="9525">
                          <a:solidFill>
                            <a:srgbClr val="000000"/>
                          </a:solidFill>
                          <a:miter lim="800000"/>
                          <a:headEnd/>
                          <a:tailEnd/>
                        </a:ln>
                      </wps:spPr>
                      <wps:txbx>
                        <w:txbxContent>
                          <w:p w14:paraId="082A7ED8" w14:textId="77777777" w:rsidR="003B21E0" w:rsidRDefault="00B14EF6" w:rsidP="003B21E0">
                            <w:r>
                              <w:rPr>
                                <w:noProof/>
                                <w:color w:val="1F497D"/>
                              </w:rPr>
                              <w:drawing>
                                <wp:inline distT="0" distB="0" distL="0" distR="0" wp14:anchorId="61656B3A" wp14:editId="0ACF83FD">
                                  <wp:extent cx="925167" cy="321387"/>
                                  <wp:effectExtent l="19050" t="0" r="8283" b="0"/>
                                  <wp:docPr id="2" name="Picture 2" descr="CETFlogoFinal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FlogoFinalRGBweb"/>
                                          <pic:cNvPicPr>
                                            <a:picLocks noChangeAspect="1" noChangeArrowheads="1"/>
                                          </pic:cNvPicPr>
                                        </pic:nvPicPr>
                                        <pic:blipFill>
                                          <a:blip r:embed="rId10" r:link="rId11"/>
                                          <a:srcRect/>
                                          <a:stretch>
                                            <a:fillRect/>
                                          </a:stretch>
                                        </pic:blipFill>
                                        <pic:spPr bwMode="auto">
                                          <a:xfrm>
                                            <a:off x="0" y="0"/>
                                            <a:ext cx="925629" cy="321547"/>
                                          </a:xfrm>
                                          <a:prstGeom prst="rect">
                                            <a:avLst/>
                                          </a:prstGeom>
                                          <a:noFill/>
                                          <a:ln w="9525">
                                            <a:noFill/>
                                            <a:miter lim="800000"/>
                                            <a:headEnd/>
                                            <a:tailEnd/>
                                          </a:ln>
                                        </pic:spPr>
                                      </pic:pic>
                                    </a:graphicData>
                                  </a:graphic>
                                </wp:inline>
                              </w:drawing>
                            </w:r>
                          </w:p>
                          <w:p w14:paraId="6150CDFA" w14:textId="77777777" w:rsidR="00A65C7D" w:rsidRDefault="00A65C7D" w:rsidP="003B21E0">
                            <w:r>
                              <w:t xml:space="preserve">This overview of the CASF Public Housing Grants was shared by the </w:t>
                            </w:r>
                            <w:r w:rsidRPr="00914AD1">
                              <w:t xml:space="preserve">California Emerging Technology Fund </w:t>
                            </w:r>
                            <w:r>
                              <w:t>(CETF), whose mission is to close the Digital Divide in California.  The CETF Team is committed to disseminating information about these grant opportunities and facilitating quality applications across the state. </w:t>
                            </w:r>
                          </w:p>
                          <w:p w14:paraId="73FAE1C9" w14:textId="77777777" w:rsidR="009A7F33" w:rsidRDefault="00A65C7D" w:rsidP="009A7F33">
                            <w:pPr>
                              <w:spacing w:after="0" w:line="240" w:lineRule="auto"/>
                            </w:pPr>
                            <w:r>
                              <w:t xml:space="preserve">For more information, please contact Raquel </w:t>
                            </w:r>
                            <w:proofErr w:type="spellStart"/>
                            <w:r>
                              <w:t>Cinat</w:t>
                            </w:r>
                            <w:proofErr w:type="spellEnd"/>
                            <w:r>
                              <w:t xml:space="preserve">, CETF Associate VP, at </w:t>
                            </w:r>
                          </w:p>
                          <w:p w14:paraId="7AB4C06C" w14:textId="77777777" w:rsidR="00A65C7D" w:rsidRDefault="00D814F0" w:rsidP="009A7F33">
                            <w:pPr>
                              <w:spacing w:after="0" w:line="240" w:lineRule="auto"/>
                            </w:pPr>
                            <w:hyperlink r:id="rId12" w:history="1">
                              <w:r w:rsidR="00A65C7D" w:rsidRPr="00664467">
                                <w:rPr>
                                  <w:rStyle w:val="Hyperlink"/>
                                </w:rPr>
                                <w:t>raquel.cinat@cetfund.org</w:t>
                              </w:r>
                            </w:hyperlink>
                            <w:r w:rsidR="009A7F33">
                              <w:t xml:space="preserve"> or 310.406.6221 (cell)</w:t>
                            </w:r>
                          </w:p>
                          <w:p w14:paraId="0346D85D" w14:textId="77777777" w:rsidR="00A65C7D" w:rsidRDefault="00A65C7D" w:rsidP="009A7F3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55pt;margin-top:7.6pt;width:510.3pt;height:1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">
                <v:textbox>
                  <w:txbxContent>
                    <w:p w14:paraId="082A7ED8" w14:textId="77777777" w:rsidR="003B21E0" w:rsidRDefault="00B14EF6" w:rsidP="003B21E0">
                      <w:r>
                        <w:rPr>
                          <w:noProof/>
                          <w:color w:val="1F497D"/>
                        </w:rPr>
                        <w:drawing>
                          <wp:inline distT="0" distB="0" distL="0" distR="0" wp14:anchorId="61656B3A" wp14:editId="0ACF83FD">
                            <wp:extent cx="925167" cy="321387"/>
                            <wp:effectExtent l="19050" t="0" r="8283" b="0"/>
                            <wp:docPr id="2" name="Picture 2" descr="CETFlogoFinal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FlogoFinalRGBweb"/>
                                    <pic:cNvPicPr>
                                      <a:picLocks noChangeAspect="1" noChangeArrowheads="1"/>
                                    </pic:cNvPicPr>
                                  </pic:nvPicPr>
                                  <pic:blipFill>
                                    <a:blip r:embed="rId13" r:link="rId14"/>
                                    <a:srcRect/>
                                    <a:stretch>
                                      <a:fillRect/>
                                    </a:stretch>
                                  </pic:blipFill>
                                  <pic:spPr bwMode="auto">
                                    <a:xfrm>
                                      <a:off x="0" y="0"/>
                                      <a:ext cx="925629" cy="321547"/>
                                    </a:xfrm>
                                    <a:prstGeom prst="rect">
                                      <a:avLst/>
                                    </a:prstGeom>
                                    <a:noFill/>
                                    <a:ln w="9525">
                                      <a:noFill/>
                                      <a:miter lim="800000"/>
                                      <a:headEnd/>
                                      <a:tailEnd/>
                                    </a:ln>
                                  </pic:spPr>
                                </pic:pic>
                              </a:graphicData>
                            </a:graphic>
                          </wp:inline>
                        </w:drawing>
                      </w:r>
                    </w:p>
                    <w:p w14:paraId="6150CDFA" w14:textId="77777777" w:rsidR="00A65C7D" w:rsidRDefault="00A65C7D" w:rsidP="003B21E0">
                      <w:r>
                        <w:t xml:space="preserve">This overview of the CASF Public Housing Grants was shared by the </w:t>
                      </w:r>
                      <w:r w:rsidRPr="00914AD1">
                        <w:t xml:space="preserve">California Emerging Technology Fund </w:t>
                      </w:r>
                      <w:r>
                        <w:t>(CETF), whose mission is to close the Digital Divide in California.  The CETF Team is committed to disseminating information about these grant opportunities and facilitating quality applications across the state. </w:t>
                      </w:r>
                    </w:p>
                    <w:p w14:paraId="73FAE1C9" w14:textId="77777777" w:rsidR="009A7F33" w:rsidRDefault="00A65C7D" w:rsidP="009A7F33">
                      <w:pPr>
                        <w:spacing w:after="0" w:line="240" w:lineRule="auto"/>
                      </w:pPr>
                      <w:r>
                        <w:t xml:space="preserve">For more information, please contact Raquel Cinat, CETF Associate VP, at </w:t>
                      </w:r>
                    </w:p>
                    <w:p w14:paraId="7AB4C06C" w14:textId="77777777" w:rsidR="00A65C7D" w:rsidRDefault="00773FAE" w:rsidP="009A7F33">
                      <w:pPr>
                        <w:spacing w:after="0" w:line="240" w:lineRule="auto"/>
                      </w:pPr>
                      <w:hyperlink r:id="rId15" w:history="1">
                        <w:r w:rsidR="00A65C7D" w:rsidRPr="00664467">
                          <w:rPr>
                            <w:rStyle w:val="Hyperlink"/>
                          </w:rPr>
                          <w:t>raquel.cinat@cetfund.org</w:t>
                        </w:r>
                      </w:hyperlink>
                      <w:r w:rsidR="009A7F33">
                        <w:t xml:space="preserve"> or 310.406.6221 (cell)</w:t>
                      </w:r>
                    </w:p>
                    <w:p w14:paraId="0346D85D" w14:textId="77777777" w:rsidR="00A65C7D" w:rsidRDefault="00A65C7D" w:rsidP="009A7F33">
                      <w:pPr>
                        <w:spacing w:after="0"/>
                      </w:pPr>
                    </w:p>
                  </w:txbxContent>
                </v:textbox>
              </v:shape>
            </w:pict>
          </mc:Fallback>
        </mc:AlternateContent>
      </w:r>
    </w:p>
    <w:p w14:paraId="4461DD47" w14:textId="77777777" w:rsidR="00914AD1" w:rsidRPr="00517E1A" w:rsidRDefault="00914AD1" w:rsidP="00634FEF">
      <w:pPr>
        <w:spacing w:after="0" w:line="240" w:lineRule="auto"/>
      </w:pPr>
    </w:p>
    <w:p w14:paraId="7972C0C9" w14:textId="77777777" w:rsidR="00914AD1" w:rsidRPr="00517E1A" w:rsidRDefault="00914AD1" w:rsidP="00634FEF">
      <w:pPr>
        <w:spacing w:after="0" w:line="240" w:lineRule="auto"/>
      </w:pPr>
    </w:p>
    <w:p w14:paraId="425AD09C" w14:textId="77777777" w:rsidR="00914AD1" w:rsidRPr="00517E1A" w:rsidRDefault="00914AD1" w:rsidP="00634FEF">
      <w:pPr>
        <w:spacing w:after="0" w:line="240" w:lineRule="auto"/>
      </w:pPr>
    </w:p>
    <w:sectPr w:rsidR="00914AD1" w:rsidRPr="00517E1A" w:rsidSect="00634FEF">
      <w:footerReference w:type="default" r:id="rId16"/>
      <w:pgSz w:w="12240" w:h="15840"/>
      <w:pgMar w:top="11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EE4D" w14:textId="77777777" w:rsidR="00D814F0" w:rsidRDefault="00D814F0" w:rsidP="00FA661F">
      <w:pPr>
        <w:spacing w:after="0" w:line="240" w:lineRule="auto"/>
      </w:pPr>
      <w:r>
        <w:separator/>
      </w:r>
    </w:p>
  </w:endnote>
  <w:endnote w:type="continuationSeparator" w:id="0">
    <w:p w14:paraId="745F656E" w14:textId="77777777" w:rsidR="00D814F0" w:rsidRDefault="00D814F0" w:rsidP="00FA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18AC" w14:textId="77777777" w:rsidR="00FA661F" w:rsidRPr="00FA661F" w:rsidRDefault="00FA661F">
    <w:pPr>
      <w:pStyle w:val="Footer"/>
      <w:rPr>
        <w:color w:val="000000" w:themeColor="text1"/>
        <w:sz w:val="18"/>
        <w:szCs w:val="18"/>
      </w:rPr>
    </w:pPr>
    <w:r w:rsidRPr="00FA661F">
      <w:rPr>
        <w:color w:val="000000" w:themeColor="text1"/>
        <w:sz w:val="18"/>
        <w:szCs w:val="18"/>
      </w:rPr>
      <w:t>California Emerging Technology Fund</w:t>
    </w:r>
    <w:r w:rsidRPr="00FA661F">
      <w:rPr>
        <w:color w:val="000000" w:themeColor="text1"/>
        <w:sz w:val="18"/>
        <w:szCs w:val="18"/>
      </w:rPr>
      <w:ptab w:relativeTo="margin" w:alignment="center" w:leader="none"/>
    </w:r>
    <w:r w:rsidRPr="00FA661F">
      <w:rPr>
        <w:color w:val="000000" w:themeColor="text1"/>
        <w:sz w:val="18"/>
        <w:szCs w:val="18"/>
      </w:rPr>
      <w:ptab w:relativeTo="margin" w:alignment="right" w:leader="none"/>
    </w:r>
    <w:r w:rsidRPr="00FA661F">
      <w:rPr>
        <w:color w:val="000000" w:themeColor="text1"/>
        <w:sz w:val="18"/>
        <w:szCs w:val="18"/>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CB1F" w14:textId="77777777" w:rsidR="00D814F0" w:rsidRDefault="00D814F0" w:rsidP="00FA661F">
      <w:pPr>
        <w:spacing w:after="0" w:line="240" w:lineRule="auto"/>
      </w:pPr>
      <w:r>
        <w:separator/>
      </w:r>
    </w:p>
  </w:footnote>
  <w:footnote w:type="continuationSeparator" w:id="0">
    <w:p w14:paraId="373AE3D5" w14:textId="77777777" w:rsidR="00D814F0" w:rsidRDefault="00D814F0" w:rsidP="00FA6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4FE6"/>
    <w:multiLevelType w:val="hybridMultilevel"/>
    <w:tmpl w:val="126ACC18"/>
    <w:lvl w:ilvl="0" w:tplc="4FF2873A">
      <w:start w:val="1"/>
      <w:numFmt w:val="bullet"/>
      <w:lvlText w:val=""/>
      <w:lvlJc w:val="left"/>
      <w:pPr>
        <w:tabs>
          <w:tab w:val="num" w:pos="720"/>
        </w:tabs>
        <w:ind w:left="720" w:hanging="360"/>
      </w:pPr>
      <w:rPr>
        <w:rFonts w:ascii="Symbol" w:hAnsi="Symbol" w:hint="default"/>
      </w:rPr>
    </w:lvl>
    <w:lvl w:ilvl="1" w:tplc="7D20DC74" w:tentative="1">
      <w:start w:val="1"/>
      <w:numFmt w:val="bullet"/>
      <w:lvlText w:val="•"/>
      <w:lvlJc w:val="left"/>
      <w:pPr>
        <w:tabs>
          <w:tab w:val="num" w:pos="1440"/>
        </w:tabs>
        <w:ind w:left="1440" w:hanging="360"/>
      </w:pPr>
      <w:rPr>
        <w:rFonts w:ascii="Times New Roman" w:hAnsi="Times New Roman" w:hint="default"/>
      </w:rPr>
    </w:lvl>
    <w:lvl w:ilvl="2" w:tplc="0464A998" w:tentative="1">
      <w:start w:val="1"/>
      <w:numFmt w:val="bullet"/>
      <w:lvlText w:val="•"/>
      <w:lvlJc w:val="left"/>
      <w:pPr>
        <w:tabs>
          <w:tab w:val="num" w:pos="2160"/>
        </w:tabs>
        <w:ind w:left="2160" w:hanging="360"/>
      </w:pPr>
      <w:rPr>
        <w:rFonts w:ascii="Times New Roman" w:hAnsi="Times New Roman" w:hint="default"/>
      </w:rPr>
    </w:lvl>
    <w:lvl w:ilvl="3" w:tplc="9EFA83B4" w:tentative="1">
      <w:start w:val="1"/>
      <w:numFmt w:val="bullet"/>
      <w:lvlText w:val="•"/>
      <w:lvlJc w:val="left"/>
      <w:pPr>
        <w:tabs>
          <w:tab w:val="num" w:pos="2880"/>
        </w:tabs>
        <w:ind w:left="2880" w:hanging="360"/>
      </w:pPr>
      <w:rPr>
        <w:rFonts w:ascii="Times New Roman" w:hAnsi="Times New Roman" w:hint="default"/>
      </w:rPr>
    </w:lvl>
    <w:lvl w:ilvl="4" w:tplc="32E4A450" w:tentative="1">
      <w:start w:val="1"/>
      <w:numFmt w:val="bullet"/>
      <w:lvlText w:val="•"/>
      <w:lvlJc w:val="left"/>
      <w:pPr>
        <w:tabs>
          <w:tab w:val="num" w:pos="3600"/>
        </w:tabs>
        <w:ind w:left="3600" w:hanging="360"/>
      </w:pPr>
      <w:rPr>
        <w:rFonts w:ascii="Times New Roman" w:hAnsi="Times New Roman" w:hint="default"/>
      </w:rPr>
    </w:lvl>
    <w:lvl w:ilvl="5" w:tplc="426ECF0C" w:tentative="1">
      <w:start w:val="1"/>
      <w:numFmt w:val="bullet"/>
      <w:lvlText w:val="•"/>
      <w:lvlJc w:val="left"/>
      <w:pPr>
        <w:tabs>
          <w:tab w:val="num" w:pos="4320"/>
        </w:tabs>
        <w:ind w:left="4320" w:hanging="360"/>
      </w:pPr>
      <w:rPr>
        <w:rFonts w:ascii="Times New Roman" w:hAnsi="Times New Roman" w:hint="default"/>
      </w:rPr>
    </w:lvl>
    <w:lvl w:ilvl="6" w:tplc="AE08ED22" w:tentative="1">
      <w:start w:val="1"/>
      <w:numFmt w:val="bullet"/>
      <w:lvlText w:val="•"/>
      <w:lvlJc w:val="left"/>
      <w:pPr>
        <w:tabs>
          <w:tab w:val="num" w:pos="5040"/>
        </w:tabs>
        <w:ind w:left="5040" w:hanging="360"/>
      </w:pPr>
      <w:rPr>
        <w:rFonts w:ascii="Times New Roman" w:hAnsi="Times New Roman" w:hint="default"/>
      </w:rPr>
    </w:lvl>
    <w:lvl w:ilvl="7" w:tplc="F30A67B8" w:tentative="1">
      <w:start w:val="1"/>
      <w:numFmt w:val="bullet"/>
      <w:lvlText w:val="•"/>
      <w:lvlJc w:val="left"/>
      <w:pPr>
        <w:tabs>
          <w:tab w:val="num" w:pos="5760"/>
        </w:tabs>
        <w:ind w:left="5760" w:hanging="360"/>
      </w:pPr>
      <w:rPr>
        <w:rFonts w:ascii="Times New Roman" w:hAnsi="Times New Roman" w:hint="default"/>
      </w:rPr>
    </w:lvl>
    <w:lvl w:ilvl="8" w:tplc="750246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907A1F"/>
    <w:multiLevelType w:val="hybridMultilevel"/>
    <w:tmpl w:val="71DED8F2"/>
    <w:lvl w:ilvl="0" w:tplc="5192B960">
      <w:start w:val="1"/>
      <w:numFmt w:val="bullet"/>
      <w:lvlText w:val="–"/>
      <w:lvlJc w:val="left"/>
      <w:pPr>
        <w:tabs>
          <w:tab w:val="num" w:pos="720"/>
        </w:tabs>
        <w:ind w:left="720" w:hanging="360"/>
      </w:pPr>
      <w:rPr>
        <w:rFonts w:ascii="Times New Roman" w:hAnsi="Times New Roman" w:hint="default"/>
      </w:rPr>
    </w:lvl>
    <w:lvl w:ilvl="1" w:tplc="126CFA26">
      <w:start w:val="1"/>
      <w:numFmt w:val="bullet"/>
      <w:lvlText w:val="–"/>
      <w:lvlJc w:val="left"/>
      <w:pPr>
        <w:tabs>
          <w:tab w:val="num" w:pos="1440"/>
        </w:tabs>
        <w:ind w:left="1440" w:hanging="360"/>
      </w:pPr>
      <w:rPr>
        <w:rFonts w:ascii="Times New Roman" w:hAnsi="Times New Roman" w:hint="default"/>
      </w:rPr>
    </w:lvl>
    <w:lvl w:ilvl="2" w:tplc="30C8E4A6" w:tentative="1">
      <w:start w:val="1"/>
      <w:numFmt w:val="bullet"/>
      <w:lvlText w:val="–"/>
      <w:lvlJc w:val="left"/>
      <w:pPr>
        <w:tabs>
          <w:tab w:val="num" w:pos="2160"/>
        </w:tabs>
        <w:ind w:left="2160" w:hanging="360"/>
      </w:pPr>
      <w:rPr>
        <w:rFonts w:ascii="Times New Roman" w:hAnsi="Times New Roman" w:hint="default"/>
      </w:rPr>
    </w:lvl>
    <w:lvl w:ilvl="3" w:tplc="6A96570E" w:tentative="1">
      <w:start w:val="1"/>
      <w:numFmt w:val="bullet"/>
      <w:lvlText w:val="–"/>
      <w:lvlJc w:val="left"/>
      <w:pPr>
        <w:tabs>
          <w:tab w:val="num" w:pos="2880"/>
        </w:tabs>
        <w:ind w:left="2880" w:hanging="360"/>
      </w:pPr>
      <w:rPr>
        <w:rFonts w:ascii="Times New Roman" w:hAnsi="Times New Roman" w:hint="default"/>
      </w:rPr>
    </w:lvl>
    <w:lvl w:ilvl="4" w:tplc="118C84E0" w:tentative="1">
      <w:start w:val="1"/>
      <w:numFmt w:val="bullet"/>
      <w:lvlText w:val="–"/>
      <w:lvlJc w:val="left"/>
      <w:pPr>
        <w:tabs>
          <w:tab w:val="num" w:pos="3600"/>
        </w:tabs>
        <w:ind w:left="3600" w:hanging="360"/>
      </w:pPr>
      <w:rPr>
        <w:rFonts w:ascii="Times New Roman" w:hAnsi="Times New Roman" w:hint="default"/>
      </w:rPr>
    </w:lvl>
    <w:lvl w:ilvl="5" w:tplc="F8B0385E" w:tentative="1">
      <w:start w:val="1"/>
      <w:numFmt w:val="bullet"/>
      <w:lvlText w:val="–"/>
      <w:lvlJc w:val="left"/>
      <w:pPr>
        <w:tabs>
          <w:tab w:val="num" w:pos="4320"/>
        </w:tabs>
        <w:ind w:left="4320" w:hanging="360"/>
      </w:pPr>
      <w:rPr>
        <w:rFonts w:ascii="Times New Roman" w:hAnsi="Times New Roman" w:hint="default"/>
      </w:rPr>
    </w:lvl>
    <w:lvl w:ilvl="6" w:tplc="DA28D420" w:tentative="1">
      <w:start w:val="1"/>
      <w:numFmt w:val="bullet"/>
      <w:lvlText w:val="–"/>
      <w:lvlJc w:val="left"/>
      <w:pPr>
        <w:tabs>
          <w:tab w:val="num" w:pos="5040"/>
        </w:tabs>
        <w:ind w:left="5040" w:hanging="360"/>
      </w:pPr>
      <w:rPr>
        <w:rFonts w:ascii="Times New Roman" w:hAnsi="Times New Roman" w:hint="default"/>
      </w:rPr>
    </w:lvl>
    <w:lvl w:ilvl="7" w:tplc="8E6EAEC4" w:tentative="1">
      <w:start w:val="1"/>
      <w:numFmt w:val="bullet"/>
      <w:lvlText w:val="–"/>
      <w:lvlJc w:val="left"/>
      <w:pPr>
        <w:tabs>
          <w:tab w:val="num" w:pos="5760"/>
        </w:tabs>
        <w:ind w:left="5760" w:hanging="360"/>
      </w:pPr>
      <w:rPr>
        <w:rFonts w:ascii="Times New Roman" w:hAnsi="Times New Roman" w:hint="default"/>
      </w:rPr>
    </w:lvl>
    <w:lvl w:ilvl="8" w:tplc="31D4EE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3130B7"/>
    <w:multiLevelType w:val="hybridMultilevel"/>
    <w:tmpl w:val="1C88E818"/>
    <w:lvl w:ilvl="0" w:tplc="4FF2873A">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65AE1945"/>
    <w:multiLevelType w:val="hybridMultilevel"/>
    <w:tmpl w:val="BFE8D524"/>
    <w:lvl w:ilvl="0" w:tplc="4FF28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124CC"/>
    <w:multiLevelType w:val="hybridMultilevel"/>
    <w:tmpl w:val="B8A89D84"/>
    <w:lvl w:ilvl="0" w:tplc="486E2B3C">
      <w:start w:val="1"/>
      <w:numFmt w:val="bullet"/>
      <w:lvlText w:val="•"/>
      <w:lvlJc w:val="left"/>
      <w:pPr>
        <w:tabs>
          <w:tab w:val="num" w:pos="720"/>
        </w:tabs>
        <w:ind w:left="720" w:hanging="360"/>
      </w:pPr>
      <w:rPr>
        <w:rFonts w:ascii="Times New Roman" w:hAnsi="Times New Roman" w:hint="default"/>
      </w:rPr>
    </w:lvl>
    <w:lvl w:ilvl="1" w:tplc="2BBC331E">
      <w:start w:val="948"/>
      <w:numFmt w:val="bullet"/>
      <w:lvlText w:val="–"/>
      <w:lvlJc w:val="left"/>
      <w:pPr>
        <w:tabs>
          <w:tab w:val="num" w:pos="1440"/>
        </w:tabs>
        <w:ind w:left="1440" w:hanging="360"/>
      </w:pPr>
      <w:rPr>
        <w:rFonts w:ascii="Times New Roman" w:hAnsi="Times New Roman" w:hint="default"/>
      </w:rPr>
    </w:lvl>
    <w:lvl w:ilvl="2" w:tplc="5EA660C8" w:tentative="1">
      <w:start w:val="1"/>
      <w:numFmt w:val="bullet"/>
      <w:lvlText w:val="•"/>
      <w:lvlJc w:val="left"/>
      <w:pPr>
        <w:tabs>
          <w:tab w:val="num" w:pos="2160"/>
        </w:tabs>
        <w:ind w:left="2160" w:hanging="360"/>
      </w:pPr>
      <w:rPr>
        <w:rFonts w:ascii="Times New Roman" w:hAnsi="Times New Roman" w:hint="default"/>
      </w:rPr>
    </w:lvl>
    <w:lvl w:ilvl="3" w:tplc="5BE037D0" w:tentative="1">
      <w:start w:val="1"/>
      <w:numFmt w:val="bullet"/>
      <w:lvlText w:val="•"/>
      <w:lvlJc w:val="left"/>
      <w:pPr>
        <w:tabs>
          <w:tab w:val="num" w:pos="2880"/>
        </w:tabs>
        <w:ind w:left="2880" w:hanging="360"/>
      </w:pPr>
      <w:rPr>
        <w:rFonts w:ascii="Times New Roman" w:hAnsi="Times New Roman" w:hint="default"/>
      </w:rPr>
    </w:lvl>
    <w:lvl w:ilvl="4" w:tplc="9FAAD6F6" w:tentative="1">
      <w:start w:val="1"/>
      <w:numFmt w:val="bullet"/>
      <w:lvlText w:val="•"/>
      <w:lvlJc w:val="left"/>
      <w:pPr>
        <w:tabs>
          <w:tab w:val="num" w:pos="3600"/>
        </w:tabs>
        <w:ind w:left="3600" w:hanging="360"/>
      </w:pPr>
      <w:rPr>
        <w:rFonts w:ascii="Times New Roman" w:hAnsi="Times New Roman" w:hint="default"/>
      </w:rPr>
    </w:lvl>
    <w:lvl w:ilvl="5" w:tplc="55D06F5E" w:tentative="1">
      <w:start w:val="1"/>
      <w:numFmt w:val="bullet"/>
      <w:lvlText w:val="•"/>
      <w:lvlJc w:val="left"/>
      <w:pPr>
        <w:tabs>
          <w:tab w:val="num" w:pos="4320"/>
        </w:tabs>
        <w:ind w:left="4320" w:hanging="360"/>
      </w:pPr>
      <w:rPr>
        <w:rFonts w:ascii="Times New Roman" w:hAnsi="Times New Roman" w:hint="default"/>
      </w:rPr>
    </w:lvl>
    <w:lvl w:ilvl="6" w:tplc="C55CF8E0" w:tentative="1">
      <w:start w:val="1"/>
      <w:numFmt w:val="bullet"/>
      <w:lvlText w:val="•"/>
      <w:lvlJc w:val="left"/>
      <w:pPr>
        <w:tabs>
          <w:tab w:val="num" w:pos="5040"/>
        </w:tabs>
        <w:ind w:left="5040" w:hanging="360"/>
      </w:pPr>
      <w:rPr>
        <w:rFonts w:ascii="Times New Roman" w:hAnsi="Times New Roman" w:hint="default"/>
      </w:rPr>
    </w:lvl>
    <w:lvl w:ilvl="7" w:tplc="3E3CFC00" w:tentative="1">
      <w:start w:val="1"/>
      <w:numFmt w:val="bullet"/>
      <w:lvlText w:val="•"/>
      <w:lvlJc w:val="left"/>
      <w:pPr>
        <w:tabs>
          <w:tab w:val="num" w:pos="5760"/>
        </w:tabs>
        <w:ind w:left="5760" w:hanging="360"/>
      </w:pPr>
      <w:rPr>
        <w:rFonts w:ascii="Times New Roman" w:hAnsi="Times New Roman" w:hint="default"/>
      </w:rPr>
    </w:lvl>
    <w:lvl w:ilvl="8" w:tplc="41002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2A0BDF"/>
    <w:multiLevelType w:val="hybridMultilevel"/>
    <w:tmpl w:val="B0D0C414"/>
    <w:lvl w:ilvl="0" w:tplc="EB2C8C50">
      <w:start w:val="1"/>
      <w:numFmt w:val="bullet"/>
      <w:lvlText w:val="•"/>
      <w:lvlJc w:val="left"/>
      <w:pPr>
        <w:tabs>
          <w:tab w:val="num" w:pos="720"/>
        </w:tabs>
        <w:ind w:left="720" w:hanging="360"/>
      </w:pPr>
      <w:rPr>
        <w:rFonts w:ascii="Times New Roman" w:hAnsi="Times New Roman" w:hint="default"/>
      </w:rPr>
    </w:lvl>
    <w:lvl w:ilvl="1" w:tplc="7D20DC74" w:tentative="1">
      <w:start w:val="1"/>
      <w:numFmt w:val="bullet"/>
      <w:lvlText w:val="•"/>
      <w:lvlJc w:val="left"/>
      <w:pPr>
        <w:tabs>
          <w:tab w:val="num" w:pos="1440"/>
        </w:tabs>
        <w:ind w:left="1440" w:hanging="360"/>
      </w:pPr>
      <w:rPr>
        <w:rFonts w:ascii="Times New Roman" w:hAnsi="Times New Roman" w:hint="default"/>
      </w:rPr>
    </w:lvl>
    <w:lvl w:ilvl="2" w:tplc="0464A998" w:tentative="1">
      <w:start w:val="1"/>
      <w:numFmt w:val="bullet"/>
      <w:lvlText w:val="•"/>
      <w:lvlJc w:val="left"/>
      <w:pPr>
        <w:tabs>
          <w:tab w:val="num" w:pos="2160"/>
        </w:tabs>
        <w:ind w:left="2160" w:hanging="360"/>
      </w:pPr>
      <w:rPr>
        <w:rFonts w:ascii="Times New Roman" w:hAnsi="Times New Roman" w:hint="default"/>
      </w:rPr>
    </w:lvl>
    <w:lvl w:ilvl="3" w:tplc="9EFA83B4" w:tentative="1">
      <w:start w:val="1"/>
      <w:numFmt w:val="bullet"/>
      <w:lvlText w:val="•"/>
      <w:lvlJc w:val="left"/>
      <w:pPr>
        <w:tabs>
          <w:tab w:val="num" w:pos="2880"/>
        </w:tabs>
        <w:ind w:left="2880" w:hanging="360"/>
      </w:pPr>
      <w:rPr>
        <w:rFonts w:ascii="Times New Roman" w:hAnsi="Times New Roman" w:hint="default"/>
      </w:rPr>
    </w:lvl>
    <w:lvl w:ilvl="4" w:tplc="32E4A450" w:tentative="1">
      <w:start w:val="1"/>
      <w:numFmt w:val="bullet"/>
      <w:lvlText w:val="•"/>
      <w:lvlJc w:val="left"/>
      <w:pPr>
        <w:tabs>
          <w:tab w:val="num" w:pos="3600"/>
        </w:tabs>
        <w:ind w:left="3600" w:hanging="360"/>
      </w:pPr>
      <w:rPr>
        <w:rFonts w:ascii="Times New Roman" w:hAnsi="Times New Roman" w:hint="default"/>
      </w:rPr>
    </w:lvl>
    <w:lvl w:ilvl="5" w:tplc="426ECF0C" w:tentative="1">
      <w:start w:val="1"/>
      <w:numFmt w:val="bullet"/>
      <w:lvlText w:val="•"/>
      <w:lvlJc w:val="left"/>
      <w:pPr>
        <w:tabs>
          <w:tab w:val="num" w:pos="4320"/>
        </w:tabs>
        <w:ind w:left="4320" w:hanging="360"/>
      </w:pPr>
      <w:rPr>
        <w:rFonts w:ascii="Times New Roman" w:hAnsi="Times New Roman" w:hint="default"/>
      </w:rPr>
    </w:lvl>
    <w:lvl w:ilvl="6" w:tplc="AE08ED22" w:tentative="1">
      <w:start w:val="1"/>
      <w:numFmt w:val="bullet"/>
      <w:lvlText w:val="•"/>
      <w:lvlJc w:val="left"/>
      <w:pPr>
        <w:tabs>
          <w:tab w:val="num" w:pos="5040"/>
        </w:tabs>
        <w:ind w:left="5040" w:hanging="360"/>
      </w:pPr>
      <w:rPr>
        <w:rFonts w:ascii="Times New Roman" w:hAnsi="Times New Roman" w:hint="default"/>
      </w:rPr>
    </w:lvl>
    <w:lvl w:ilvl="7" w:tplc="F30A67B8" w:tentative="1">
      <w:start w:val="1"/>
      <w:numFmt w:val="bullet"/>
      <w:lvlText w:val="•"/>
      <w:lvlJc w:val="left"/>
      <w:pPr>
        <w:tabs>
          <w:tab w:val="num" w:pos="5760"/>
        </w:tabs>
        <w:ind w:left="5760" w:hanging="360"/>
      </w:pPr>
      <w:rPr>
        <w:rFonts w:ascii="Times New Roman" w:hAnsi="Times New Roman" w:hint="default"/>
      </w:rPr>
    </w:lvl>
    <w:lvl w:ilvl="8" w:tplc="750246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B6E24EC"/>
    <w:multiLevelType w:val="hybridMultilevel"/>
    <w:tmpl w:val="535ED010"/>
    <w:lvl w:ilvl="0" w:tplc="813090E2">
      <w:start w:val="1"/>
      <w:numFmt w:val="bullet"/>
      <w:lvlText w:val="•"/>
      <w:lvlJc w:val="left"/>
      <w:pPr>
        <w:tabs>
          <w:tab w:val="num" w:pos="720"/>
        </w:tabs>
        <w:ind w:left="720" w:hanging="360"/>
      </w:pPr>
      <w:rPr>
        <w:rFonts w:ascii="Times New Roman" w:hAnsi="Times New Roman" w:hint="default"/>
      </w:rPr>
    </w:lvl>
    <w:lvl w:ilvl="1" w:tplc="A9BE86FC" w:tentative="1">
      <w:start w:val="1"/>
      <w:numFmt w:val="bullet"/>
      <w:lvlText w:val="•"/>
      <w:lvlJc w:val="left"/>
      <w:pPr>
        <w:tabs>
          <w:tab w:val="num" w:pos="1440"/>
        </w:tabs>
        <w:ind w:left="1440" w:hanging="360"/>
      </w:pPr>
      <w:rPr>
        <w:rFonts w:ascii="Times New Roman" w:hAnsi="Times New Roman" w:hint="default"/>
      </w:rPr>
    </w:lvl>
    <w:lvl w:ilvl="2" w:tplc="F01E3398" w:tentative="1">
      <w:start w:val="1"/>
      <w:numFmt w:val="bullet"/>
      <w:lvlText w:val="•"/>
      <w:lvlJc w:val="left"/>
      <w:pPr>
        <w:tabs>
          <w:tab w:val="num" w:pos="2160"/>
        </w:tabs>
        <w:ind w:left="2160" w:hanging="360"/>
      </w:pPr>
      <w:rPr>
        <w:rFonts w:ascii="Times New Roman" w:hAnsi="Times New Roman" w:hint="default"/>
      </w:rPr>
    </w:lvl>
    <w:lvl w:ilvl="3" w:tplc="98708538" w:tentative="1">
      <w:start w:val="1"/>
      <w:numFmt w:val="bullet"/>
      <w:lvlText w:val="•"/>
      <w:lvlJc w:val="left"/>
      <w:pPr>
        <w:tabs>
          <w:tab w:val="num" w:pos="2880"/>
        </w:tabs>
        <w:ind w:left="2880" w:hanging="360"/>
      </w:pPr>
      <w:rPr>
        <w:rFonts w:ascii="Times New Roman" w:hAnsi="Times New Roman" w:hint="default"/>
      </w:rPr>
    </w:lvl>
    <w:lvl w:ilvl="4" w:tplc="314CABB6" w:tentative="1">
      <w:start w:val="1"/>
      <w:numFmt w:val="bullet"/>
      <w:lvlText w:val="•"/>
      <w:lvlJc w:val="left"/>
      <w:pPr>
        <w:tabs>
          <w:tab w:val="num" w:pos="3600"/>
        </w:tabs>
        <w:ind w:left="3600" w:hanging="360"/>
      </w:pPr>
      <w:rPr>
        <w:rFonts w:ascii="Times New Roman" w:hAnsi="Times New Roman" w:hint="default"/>
      </w:rPr>
    </w:lvl>
    <w:lvl w:ilvl="5" w:tplc="F63C011E" w:tentative="1">
      <w:start w:val="1"/>
      <w:numFmt w:val="bullet"/>
      <w:lvlText w:val="•"/>
      <w:lvlJc w:val="left"/>
      <w:pPr>
        <w:tabs>
          <w:tab w:val="num" w:pos="4320"/>
        </w:tabs>
        <w:ind w:left="4320" w:hanging="360"/>
      </w:pPr>
      <w:rPr>
        <w:rFonts w:ascii="Times New Roman" w:hAnsi="Times New Roman" w:hint="default"/>
      </w:rPr>
    </w:lvl>
    <w:lvl w:ilvl="6" w:tplc="265E4172" w:tentative="1">
      <w:start w:val="1"/>
      <w:numFmt w:val="bullet"/>
      <w:lvlText w:val="•"/>
      <w:lvlJc w:val="left"/>
      <w:pPr>
        <w:tabs>
          <w:tab w:val="num" w:pos="5040"/>
        </w:tabs>
        <w:ind w:left="5040" w:hanging="360"/>
      </w:pPr>
      <w:rPr>
        <w:rFonts w:ascii="Times New Roman" w:hAnsi="Times New Roman" w:hint="default"/>
      </w:rPr>
    </w:lvl>
    <w:lvl w:ilvl="7" w:tplc="139470E2" w:tentative="1">
      <w:start w:val="1"/>
      <w:numFmt w:val="bullet"/>
      <w:lvlText w:val="•"/>
      <w:lvlJc w:val="left"/>
      <w:pPr>
        <w:tabs>
          <w:tab w:val="num" w:pos="5760"/>
        </w:tabs>
        <w:ind w:left="5760" w:hanging="360"/>
      </w:pPr>
      <w:rPr>
        <w:rFonts w:ascii="Times New Roman" w:hAnsi="Times New Roman" w:hint="default"/>
      </w:rPr>
    </w:lvl>
    <w:lvl w:ilvl="8" w:tplc="F4D426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497924"/>
    <w:multiLevelType w:val="hybridMultilevel"/>
    <w:tmpl w:val="7DB2BA88"/>
    <w:lvl w:ilvl="0" w:tplc="A724C2D6">
      <w:start w:val="1"/>
      <w:numFmt w:val="bullet"/>
      <w:lvlText w:val="•"/>
      <w:lvlJc w:val="left"/>
      <w:pPr>
        <w:tabs>
          <w:tab w:val="num" w:pos="720"/>
        </w:tabs>
        <w:ind w:left="720" w:hanging="360"/>
      </w:pPr>
      <w:rPr>
        <w:rFonts w:ascii="Times New Roman" w:hAnsi="Times New Roman" w:hint="default"/>
      </w:rPr>
    </w:lvl>
    <w:lvl w:ilvl="1" w:tplc="447CA11C">
      <w:start w:val="1"/>
      <w:numFmt w:val="bullet"/>
      <w:lvlText w:val="•"/>
      <w:lvlJc w:val="left"/>
      <w:pPr>
        <w:tabs>
          <w:tab w:val="num" w:pos="1440"/>
        </w:tabs>
        <w:ind w:left="1440" w:hanging="360"/>
      </w:pPr>
      <w:rPr>
        <w:rFonts w:ascii="Times New Roman" w:hAnsi="Times New Roman" w:hint="default"/>
      </w:rPr>
    </w:lvl>
    <w:lvl w:ilvl="2" w:tplc="3BFA2FEE" w:tentative="1">
      <w:start w:val="1"/>
      <w:numFmt w:val="bullet"/>
      <w:lvlText w:val="•"/>
      <w:lvlJc w:val="left"/>
      <w:pPr>
        <w:tabs>
          <w:tab w:val="num" w:pos="2160"/>
        </w:tabs>
        <w:ind w:left="2160" w:hanging="360"/>
      </w:pPr>
      <w:rPr>
        <w:rFonts w:ascii="Times New Roman" w:hAnsi="Times New Roman" w:hint="default"/>
      </w:rPr>
    </w:lvl>
    <w:lvl w:ilvl="3" w:tplc="02468150" w:tentative="1">
      <w:start w:val="1"/>
      <w:numFmt w:val="bullet"/>
      <w:lvlText w:val="•"/>
      <w:lvlJc w:val="left"/>
      <w:pPr>
        <w:tabs>
          <w:tab w:val="num" w:pos="2880"/>
        </w:tabs>
        <w:ind w:left="2880" w:hanging="360"/>
      </w:pPr>
      <w:rPr>
        <w:rFonts w:ascii="Times New Roman" w:hAnsi="Times New Roman" w:hint="default"/>
      </w:rPr>
    </w:lvl>
    <w:lvl w:ilvl="4" w:tplc="5C64D26E" w:tentative="1">
      <w:start w:val="1"/>
      <w:numFmt w:val="bullet"/>
      <w:lvlText w:val="•"/>
      <w:lvlJc w:val="left"/>
      <w:pPr>
        <w:tabs>
          <w:tab w:val="num" w:pos="3600"/>
        </w:tabs>
        <w:ind w:left="3600" w:hanging="360"/>
      </w:pPr>
      <w:rPr>
        <w:rFonts w:ascii="Times New Roman" w:hAnsi="Times New Roman" w:hint="default"/>
      </w:rPr>
    </w:lvl>
    <w:lvl w:ilvl="5" w:tplc="75001A40" w:tentative="1">
      <w:start w:val="1"/>
      <w:numFmt w:val="bullet"/>
      <w:lvlText w:val="•"/>
      <w:lvlJc w:val="left"/>
      <w:pPr>
        <w:tabs>
          <w:tab w:val="num" w:pos="4320"/>
        </w:tabs>
        <w:ind w:left="4320" w:hanging="360"/>
      </w:pPr>
      <w:rPr>
        <w:rFonts w:ascii="Times New Roman" w:hAnsi="Times New Roman" w:hint="default"/>
      </w:rPr>
    </w:lvl>
    <w:lvl w:ilvl="6" w:tplc="76F6482E" w:tentative="1">
      <w:start w:val="1"/>
      <w:numFmt w:val="bullet"/>
      <w:lvlText w:val="•"/>
      <w:lvlJc w:val="left"/>
      <w:pPr>
        <w:tabs>
          <w:tab w:val="num" w:pos="5040"/>
        </w:tabs>
        <w:ind w:left="5040" w:hanging="360"/>
      </w:pPr>
      <w:rPr>
        <w:rFonts w:ascii="Times New Roman" w:hAnsi="Times New Roman" w:hint="default"/>
      </w:rPr>
    </w:lvl>
    <w:lvl w:ilvl="7" w:tplc="6B482C64" w:tentative="1">
      <w:start w:val="1"/>
      <w:numFmt w:val="bullet"/>
      <w:lvlText w:val="•"/>
      <w:lvlJc w:val="left"/>
      <w:pPr>
        <w:tabs>
          <w:tab w:val="num" w:pos="5760"/>
        </w:tabs>
        <w:ind w:left="5760" w:hanging="360"/>
      </w:pPr>
      <w:rPr>
        <w:rFonts w:ascii="Times New Roman" w:hAnsi="Times New Roman" w:hint="default"/>
      </w:rPr>
    </w:lvl>
    <w:lvl w:ilvl="8" w:tplc="52A28DA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EC1F20"/>
    <w:multiLevelType w:val="hybridMultilevel"/>
    <w:tmpl w:val="86E6C4DE"/>
    <w:lvl w:ilvl="0" w:tplc="2BB663EE">
      <w:start w:val="1"/>
      <w:numFmt w:val="bullet"/>
      <w:lvlText w:val="•"/>
      <w:lvlJc w:val="left"/>
      <w:pPr>
        <w:tabs>
          <w:tab w:val="num" w:pos="720"/>
        </w:tabs>
        <w:ind w:left="720" w:hanging="360"/>
      </w:pPr>
      <w:rPr>
        <w:rFonts w:ascii="Times New Roman" w:hAnsi="Times New Roman" w:hint="default"/>
      </w:rPr>
    </w:lvl>
    <w:lvl w:ilvl="1" w:tplc="1F102EC6">
      <w:start w:val="948"/>
      <w:numFmt w:val="bullet"/>
      <w:lvlText w:val="–"/>
      <w:lvlJc w:val="left"/>
      <w:pPr>
        <w:tabs>
          <w:tab w:val="num" w:pos="1440"/>
        </w:tabs>
        <w:ind w:left="1440" w:hanging="360"/>
      </w:pPr>
      <w:rPr>
        <w:rFonts w:ascii="Times New Roman" w:hAnsi="Times New Roman" w:hint="default"/>
      </w:rPr>
    </w:lvl>
    <w:lvl w:ilvl="2" w:tplc="BEF0924C" w:tentative="1">
      <w:start w:val="1"/>
      <w:numFmt w:val="bullet"/>
      <w:lvlText w:val="•"/>
      <w:lvlJc w:val="left"/>
      <w:pPr>
        <w:tabs>
          <w:tab w:val="num" w:pos="2160"/>
        </w:tabs>
        <w:ind w:left="2160" w:hanging="360"/>
      </w:pPr>
      <w:rPr>
        <w:rFonts w:ascii="Times New Roman" w:hAnsi="Times New Roman" w:hint="default"/>
      </w:rPr>
    </w:lvl>
    <w:lvl w:ilvl="3" w:tplc="DEB0C894" w:tentative="1">
      <w:start w:val="1"/>
      <w:numFmt w:val="bullet"/>
      <w:lvlText w:val="•"/>
      <w:lvlJc w:val="left"/>
      <w:pPr>
        <w:tabs>
          <w:tab w:val="num" w:pos="2880"/>
        </w:tabs>
        <w:ind w:left="2880" w:hanging="360"/>
      </w:pPr>
      <w:rPr>
        <w:rFonts w:ascii="Times New Roman" w:hAnsi="Times New Roman" w:hint="default"/>
      </w:rPr>
    </w:lvl>
    <w:lvl w:ilvl="4" w:tplc="783C3510" w:tentative="1">
      <w:start w:val="1"/>
      <w:numFmt w:val="bullet"/>
      <w:lvlText w:val="•"/>
      <w:lvlJc w:val="left"/>
      <w:pPr>
        <w:tabs>
          <w:tab w:val="num" w:pos="3600"/>
        </w:tabs>
        <w:ind w:left="3600" w:hanging="360"/>
      </w:pPr>
      <w:rPr>
        <w:rFonts w:ascii="Times New Roman" w:hAnsi="Times New Roman" w:hint="default"/>
      </w:rPr>
    </w:lvl>
    <w:lvl w:ilvl="5" w:tplc="27068FFC" w:tentative="1">
      <w:start w:val="1"/>
      <w:numFmt w:val="bullet"/>
      <w:lvlText w:val="•"/>
      <w:lvlJc w:val="left"/>
      <w:pPr>
        <w:tabs>
          <w:tab w:val="num" w:pos="4320"/>
        </w:tabs>
        <w:ind w:left="4320" w:hanging="360"/>
      </w:pPr>
      <w:rPr>
        <w:rFonts w:ascii="Times New Roman" w:hAnsi="Times New Roman" w:hint="default"/>
      </w:rPr>
    </w:lvl>
    <w:lvl w:ilvl="6" w:tplc="3470F6C4" w:tentative="1">
      <w:start w:val="1"/>
      <w:numFmt w:val="bullet"/>
      <w:lvlText w:val="•"/>
      <w:lvlJc w:val="left"/>
      <w:pPr>
        <w:tabs>
          <w:tab w:val="num" w:pos="5040"/>
        </w:tabs>
        <w:ind w:left="5040" w:hanging="360"/>
      </w:pPr>
      <w:rPr>
        <w:rFonts w:ascii="Times New Roman" w:hAnsi="Times New Roman" w:hint="default"/>
      </w:rPr>
    </w:lvl>
    <w:lvl w:ilvl="7" w:tplc="65CCB5FC" w:tentative="1">
      <w:start w:val="1"/>
      <w:numFmt w:val="bullet"/>
      <w:lvlText w:val="•"/>
      <w:lvlJc w:val="left"/>
      <w:pPr>
        <w:tabs>
          <w:tab w:val="num" w:pos="5760"/>
        </w:tabs>
        <w:ind w:left="5760" w:hanging="360"/>
      </w:pPr>
      <w:rPr>
        <w:rFonts w:ascii="Times New Roman" w:hAnsi="Times New Roman" w:hint="default"/>
      </w:rPr>
    </w:lvl>
    <w:lvl w:ilvl="8" w:tplc="0A06C2D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8"/>
  </w:num>
  <w:num w:numId="3">
    <w:abstractNumId w:val="7"/>
  </w:num>
  <w:num w:numId="4">
    <w:abstractNumId w:val="4"/>
  </w:num>
  <w:num w:numId="5">
    <w:abstractNumId w:val="1"/>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57"/>
    <w:rsid w:val="00054A95"/>
    <w:rsid w:val="001B0FF6"/>
    <w:rsid w:val="00332923"/>
    <w:rsid w:val="00333E13"/>
    <w:rsid w:val="003B21E0"/>
    <w:rsid w:val="00423E41"/>
    <w:rsid w:val="00441657"/>
    <w:rsid w:val="00511B1B"/>
    <w:rsid w:val="00517E1A"/>
    <w:rsid w:val="005D16F7"/>
    <w:rsid w:val="00614A09"/>
    <w:rsid w:val="00634FEF"/>
    <w:rsid w:val="00646A81"/>
    <w:rsid w:val="006C23E5"/>
    <w:rsid w:val="00773FAE"/>
    <w:rsid w:val="00900C84"/>
    <w:rsid w:val="00914AD1"/>
    <w:rsid w:val="00966B48"/>
    <w:rsid w:val="009A7F33"/>
    <w:rsid w:val="009B19E4"/>
    <w:rsid w:val="009F5682"/>
    <w:rsid w:val="00A65C7D"/>
    <w:rsid w:val="00AC3463"/>
    <w:rsid w:val="00AD1541"/>
    <w:rsid w:val="00B14EF6"/>
    <w:rsid w:val="00B3581E"/>
    <w:rsid w:val="00B4219A"/>
    <w:rsid w:val="00BC3483"/>
    <w:rsid w:val="00CC579F"/>
    <w:rsid w:val="00D814F0"/>
    <w:rsid w:val="00EA4584"/>
    <w:rsid w:val="00F51C5F"/>
    <w:rsid w:val="00FA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E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57"/>
    <w:rPr>
      <w:color w:val="0000FF" w:themeColor="hyperlink"/>
      <w:u w:val="single"/>
    </w:rPr>
  </w:style>
  <w:style w:type="paragraph" w:styleId="BalloonText">
    <w:name w:val="Balloon Text"/>
    <w:basedOn w:val="Normal"/>
    <w:link w:val="BalloonTextChar"/>
    <w:uiPriority w:val="99"/>
    <w:semiHidden/>
    <w:unhideWhenUsed/>
    <w:rsid w:val="0044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57"/>
    <w:rPr>
      <w:rFonts w:ascii="Tahoma" w:hAnsi="Tahoma" w:cs="Tahoma"/>
      <w:sz w:val="16"/>
      <w:szCs w:val="16"/>
    </w:rPr>
  </w:style>
  <w:style w:type="paragraph" w:styleId="ListParagraph">
    <w:name w:val="List Paragraph"/>
    <w:basedOn w:val="Normal"/>
    <w:uiPriority w:val="34"/>
    <w:qFormat/>
    <w:rsid w:val="00333E13"/>
    <w:pPr>
      <w:ind w:left="720"/>
      <w:contextualSpacing/>
    </w:pPr>
  </w:style>
  <w:style w:type="character" w:styleId="FollowedHyperlink">
    <w:name w:val="FollowedHyperlink"/>
    <w:basedOn w:val="DefaultParagraphFont"/>
    <w:uiPriority w:val="99"/>
    <w:semiHidden/>
    <w:unhideWhenUsed/>
    <w:rsid w:val="00966B48"/>
    <w:rPr>
      <w:color w:val="800080" w:themeColor="followedHyperlink"/>
      <w:u w:val="single"/>
    </w:rPr>
  </w:style>
  <w:style w:type="paragraph" w:customStyle="1" w:styleId="BodyA">
    <w:name w:val="Body A"/>
    <w:rsid w:val="00332923"/>
    <w:pPr>
      <w:pBdr>
        <w:top w:val="nil"/>
        <w:left w:val="nil"/>
        <w:bottom w:val="nil"/>
        <w:right w:val="nil"/>
        <w:between w:val="nil"/>
        <w:bar w:val="nil"/>
      </w:pBdr>
      <w:spacing w:after="0" w:line="240" w:lineRule="auto"/>
    </w:pPr>
    <w:rPr>
      <w:rFonts w:ascii="Palatino" w:eastAsia="Arial Unicode MS" w:hAnsi="Arial Unicode MS" w:cs="Arial Unicode MS"/>
      <w:color w:val="000000"/>
      <w:sz w:val="26"/>
      <w:szCs w:val="26"/>
      <w:u w:color="000000"/>
      <w:bdr w:val="nil"/>
    </w:rPr>
  </w:style>
  <w:style w:type="table" w:styleId="LightList-Accent6">
    <w:name w:val="Light List Accent 6"/>
    <w:basedOn w:val="TableNormal"/>
    <w:uiPriority w:val="61"/>
    <w:rsid w:val="00517E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517E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9A7F3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421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423E41"/>
    <w:pPr>
      <w:spacing w:before="168" w:after="216" w:line="240" w:lineRule="auto"/>
    </w:pPr>
    <w:rPr>
      <w:rFonts w:ascii="Times New Roman" w:eastAsia="Times New Roman" w:hAnsi="Times New Roman" w:cs="Times New Roman"/>
      <w:sz w:val="24"/>
      <w:szCs w:val="24"/>
    </w:rPr>
  </w:style>
  <w:style w:type="paragraph" w:customStyle="1" w:styleId="Default">
    <w:name w:val="Default"/>
    <w:rsid w:val="003B21E0"/>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semiHidden/>
    <w:unhideWhenUsed/>
    <w:rsid w:val="00FA6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61F"/>
  </w:style>
  <w:style w:type="paragraph" w:styleId="Footer">
    <w:name w:val="footer"/>
    <w:basedOn w:val="Normal"/>
    <w:link w:val="FooterChar"/>
    <w:uiPriority w:val="99"/>
    <w:unhideWhenUsed/>
    <w:rsid w:val="00F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57"/>
    <w:rPr>
      <w:color w:val="0000FF" w:themeColor="hyperlink"/>
      <w:u w:val="single"/>
    </w:rPr>
  </w:style>
  <w:style w:type="paragraph" w:styleId="BalloonText">
    <w:name w:val="Balloon Text"/>
    <w:basedOn w:val="Normal"/>
    <w:link w:val="BalloonTextChar"/>
    <w:uiPriority w:val="99"/>
    <w:semiHidden/>
    <w:unhideWhenUsed/>
    <w:rsid w:val="0044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57"/>
    <w:rPr>
      <w:rFonts w:ascii="Tahoma" w:hAnsi="Tahoma" w:cs="Tahoma"/>
      <w:sz w:val="16"/>
      <w:szCs w:val="16"/>
    </w:rPr>
  </w:style>
  <w:style w:type="paragraph" w:styleId="ListParagraph">
    <w:name w:val="List Paragraph"/>
    <w:basedOn w:val="Normal"/>
    <w:uiPriority w:val="34"/>
    <w:qFormat/>
    <w:rsid w:val="00333E13"/>
    <w:pPr>
      <w:ind w:left="720"/>
      <w:contextualSpacing/>
    </w:pPr>
  </w:style>
  <w:style w:type="character" w:styleId="FollowedHyperlink">
    <w:name w:val="FollowedHyperlink"/>
    <w:basedOn w:val="DefaultParagraphFont"/>
    <w:uiPriority w:val="99"/>
    <w:semiHidden/>
    <w:unhideWhenUsed/>
    <w:rsid w:val="00966B48"/>
    <w:rPr>
      <w:color w:val="800080" w:themeColor="followedHyperlink"/>
      <w:u w:val="single"/>
    </w:rPr>
  </w:style>
  <w:style w:type="paragraph" w:customStyle="1" w:styleId="BodyA">
    <w:name w:val="Body A"/>
    <w:rsid w:val="00332923"/>
    <w:pPr>
      <w:pBdr>
        <w:top w:val="nil"/>
        <w:left w:val="nil"/>
        <w:bottom w:val="nil"/>
        <w:right w:val="nil"/>
        <w:between w:val="nil"/>
        <w:bar w:val="nil"/>
      </w:pBdr>
      <w:spacing w:after="0" w:line="240" w:lineRule="auto"/>
    </w:pPr>
    <w:rPr>
      <w:rFonts w:ascii="Palatino" w:eastAsia="Arial Unicode MS" w:hAnsi="Arial Unicode MS" w:cs="Arial Unicode MS"/>
      <w:color w:val="000000"/>
      <w:sz w:val="26"/>
      <w:szCs w:val="26"/>
      <w:u w:color="000000"/>
      <w:bdr w:val="nil"/>
    </w:rPr>
  </w:style>
  <w:style w:type="table" w:styleId="LightList-Accent6">
    <w:name w:val="Light List Accent 6"/>
    <w:basedOn w:val="TableNormal"/>
    <w:uiPriority w:val="61"/>
    <w:rsid w:val="00517E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517E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9A7F3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421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423E41"/>
    <w:pPr>
      <w:spacing w:before="168" w:after="216" w:line="240" w:lineRule="auto"/>
    </w:pPr>
    <w:rPr>
      <w:rFonts w:ascii="Times New Roman" w:eastAsia="Times New Roman" w:hAnsi="Times New Roman" w:cs="Times New Roman"/>
      <w:sz w:val="24"/>
      <w:szCs w:val="24"/>
    </w:rPr>
  </w:style>
  <w:style w:type="paragraph" w:customStyle="1" w:styleId="Default">
    <w:name w:val="Default"/>
    <w:rsid w:val="003B21E0"/>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semiHidden/>
    <w:unhideWhenUsed/>
    <w:rsid w:val="00FA6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61F"/>
  </w:style>
  <w:style w:type="paragraph" w:styleId="Footer">
    <w:name w:val="footer"/>
    <w:basedOn w:val="Normal"/>
    <w:link w:val="FooterChar"/>
    <w:uiPriority w:val="99"/>
    <w:unhideWhenUsed/>
    <w:rsid w:val="00F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998">
      <w:bodyDiv w:val="1"/>
      <w:marLeft w:val="0"/>
      <w:marRight w:val="0"/>
      <w:marTop w:val="0"/>
      <w:marBottom w:val="0"/>
      <w:divBdr>
        <w:top w:val="none" w:sz="0" w:space="0" w:color="auto"/>
        <w:left w:val="none" w:sz="0" w:space="0" w:color="auto"/>
        <w:bottom w:val="none" w:sz="0" w:space="0" w:color="auto"/>
        <w:right w:val="none" w:sz="0" w:space="0" w:color="auto"/>
      </w:divBdr>
      <w:divsChild>
        <w:div w:id="864056668">
          <w:marLeft w:val="3115"/>
          <w:marRight w:val="0"/>
          <w:marTop w:val="0"/>
          <w:marBottom w:val="0"/>
          <w:divBdr>
            <w:top w:val="none" w:sz="0" w:space="0" w:color="auto"/>
            <w:left w:val="none" w:sz="0" w:space="0" w:color="auto"/>
            <w:bottom w:val="none" w:sz="0" w:space="0" w:color="auto"/>
            <w:right w:val="none" w:sz="0" w:space="0" w:color="auto"/>
          </w:divBdr>
          <w:divsChild>
            <w:div w:id="1843011601">
              <w:marLeft w:val="0"/>
              <w:marRight w:val="0"/>
              <w:marTop w:val="0"/>
              <w:marBottom w:val="0"/>
              <w:divBdr>
                <w:top w:val="none" w:sz="0" w:space="0" w:color="auto"/>
                <w:left w:val="none" w:sz="0" w:space="0" w:color="auto"/>
                <w:bottom w:val="none" w:sz="0" w:space="0" w:color="auto"/>
                <w:right w:val="none" w:sz="0" w:space="0" w:color="auto"/>
              </w:divBdr>
              <w:divsChild>
                <w:div w:id="4149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329">
      <w:bodyDiv w:val="1"/>
      <w:marLeft w:val="0"/>
      <w:marRight w:val="0"/>
      <w:marTop w:val="0"/>
      <w:marBottom w:val="0"/>
      <w:divBdr>
        <w:top w:val="none" w:sz="0" w:space="0" w:color="auto"/>
        <w:left w:val="none" w:sz="0" w:space="0" w:color="auto"/>
        <w:bottom w:val="none" w:sz="0" w:space="0" w:color="auto"/>
        <w:right w:val="none" w:sz="0" w:space="0" w:color="auto"/>
      </w:divBdr>
      <w:divsChild>
        <w:div w:id="1059548265">
          <w:marLeft w:val="1166"/>
          <w:marRight w:val="0"/>
          <w:marTop w:val="96"/>
          <w:marBottom w:val="0"/>
          <w:divBdr>
            <w:top w:val="none" w:sz="0" w:space="0" w:color="auto"/>
            <w:left w:val="none" w:sz="0" w:space="0" w:color="auto"/>
            <w:bottom w:val="none" w:sz="0" w:space="0" w:color="auto"/>
            <w:right w:val="none" w:sz="0" w:space="0" w:color="auto"/>
          </w:divBdr>
        </w:div>
        <w:div w:id="485584874">
          <w:marLeft w:val="1166"/>
          <w:marRight w:val="0"/>
          <w:marTop w:val="96"/>
          <w:marBottom w:val="0"/>
          <w:divBdr>
            <w:top w:val="none" w:sz="0" w:space="0" w:color="auto"/>
            <w:left w:val="none" w:sz="0" w:space="0" w:color="auto"/>
            <w:bottom w:val="none" w:sz="0" w:space="0" w:color="auto"/>
            <w:right w:val="none" w:sz="0" w:space="0" w:color="auto"/>
          </w:divBdr>
        </w:div>
        <w:div w:id="544830736">
          <w:marLeft w:val="1166"/>
          <w:marRight w:val="0"/>
          <w:marTop w:val="96"/>
          <w:marBottom w:val="0"/>
          <w:divBdr>
            <w:top w:val="none" w:sz="0" w:space="0" w:color="auto"/>
            <w:left w:val="none" w:sz="0" w:space="0" w:color="auto"/>
            <w:bottom w:val="none" w:sz="0" w:space="0" w:color="auto"/>
            <w:right w:val="none" w:sz="0" w:space="0" w:color="auto"/>
          </w:divBdr>
        </w:div>
        <w:div w:id="26297312">
          <w:marLeft w:val="1166"/>
          <w:marRight w:val="0"/>
          <w:marTop w:val="96"/>
          <w:marBottom w:val="0"/>
          <w:divBdr>
            <w:top w:val="none" w:sz="0" w:space="0" w:color="auto"/>
            <w:left w:val="none" w:sz="0" w:space="0" w:color="auto"/>
            <w:bottom w:val="none" w:sz="0" w:space="0" w:color="auto"/>
            <w:right w:val="none" w:sz="0" w:space="0" w:color="auto"/>
          </w:divBdr>
        </w:div>
        <w:div w:id="149249467">
          <w:marLeft w:val="1166"/>
          <w:marRight w:val="0"/>
          <w:marTop w:val="96"/>
          <w:marBottom w:val="0"/>
          <w:divBdr>
            <w:top w:val="none" w:sz="0" w:space="0" w:color="auto"/>
            <w:left w:val="none" w:sz="0" w:space="0" w:color="auto"/>
            <w:bottom w:val="none" w:sz="0" w:space="0" w:color="auto"/>
            <w:right w:val="none" w:sz="0" w:space="0" w:color="auto"/>
          </w:divBdr>
        </w:div>
        <w:div w:id="2075614411">
          <w:marLeft w:val="1166"/>
          <w:marRight w:val="0"/>
          <w:marTop w:val="96"/>
          <w:marBottom w:val="0"/>
          <w:divBdr>
            <w:top w:val="none" w:sz="0" w:space="0" w:color="auto"/>
            <w:left w:val="none" w:sz="0" w:space="0" w:color="auto"/>
            <w:bottom w:val="none" w:sz="0" w:space="0" w:color="auto"/>
            <w:right w:val="none" w:sz="0" w:space="0" w:color="auto"/>
          </w:divBdr>
        </w:div>
        <w:div w:id="2899222">
          <w:marLeft w:val="1166"/>
          <w:marRight w:val="0"/>
          <w:marTop w:val="96"/>
          <w:marBottom w:val="0"/>
          <w:divBdr>
            <w:top w:val="none" w:sz="0" w:space="0" w:color="auto"/>
            <w:left w:val="none" w:sz="0" w:space="0" w:color="auto"/>
            <w:bottom w:val="none" w:sz="0" w:space="0" w:color="auto"/>
            <w:right w:val="none" w:sz="0" w:space="0" w:color="auto"/>
          </w:divBdr>
        </w:div>
      </w:divsChild>
    </w:div>
    <w:div w:id="232082778">
      <w:bodyDiv w:val="1"/>
      <w:marLeft w:val="0"/>
      <w:marRight w:val="0"/>
      <w:marTop w:val="0"/>
      <w:marBottom w:val="0"/>
      <w:divBdr>
        <w:top w:val="none" w:sz="0" w:space="0" w:color="auto"/>
        <w:left w:val="none" w:sz="0" w:space="0" w:color="auto"/>
        <w:bottom w:val="none" w:sz="0" w:space="0" w:color="auto"/>
        <w:right w:val="none" w:sz="0" w:space="0" w:color="auto"/>
      </w:divBdr>
      <w:divsChild>
        <w:div w:id="2014406000">
          <w:marLeft w:val="547"/>
          <w:marRight w:val="0"/>
          <w:marTop w:val="96"/>
          <w:marBottom w:val="0"/>
          <w:divBdr>
            <w:top w:val="none" w:sz="0" w:space="0" w:color="auto"/>
            <w:left w:val="none" w:sz="0" w:space="0" w:color="auto"/>
            <w:bottom w:val="none" w:sz="0" w:space="0" w:color="auto"/>
            <w:right w:val="none" w:sz="0" w:space="0" w:color="auto"/>
          </w:divBdr>
        </w:div>
      </w:divsChild>
    </w:div>
    <w:div w:id="299262688">
      <w:bodyDiv w:val="1"/>
      <w:marLeft w:val="0"/>
      <w:marRight w:val="0"/>
      <w:marTop w:val="0"/>
      <w:marBottom w:val="0"/>
      <w:divBdr>
        <w:top w:val="none" w:sz="0" w:space="0" w:color="auto"/>
        <w:left w:val="none" w:sz="0" w:space="0" w:color="auto"/>
        <w:bottom w:val="none" w:sz="0" w:space="0" w:color="auto"/>
        <w:right w:val="none" w:sz="0" w:space="0" w:color="auto"/>
      </w:divBdr>
      <w:divsChild>
        <w:div w:id="1798797323">
          <w:marLeft w:val="547"/>
          <w:marRight w:val="0"/>
          <w:marTop w:val="96"/>
          <w:marBottom w:val="0"/>
          <w:divBdr>
            <w:top w:val="none" w:sz="0" w:space="0" w:color="auto"/>
            <w:left w:val="none" w:sz="0" w:space="0" w:color="auto"/>
            <w:bottom w:val="none" w:sz="0" w:space="0" w:color="auto"/>
            <w:right w:val="none" w:sz="0" w:space="0" w:color="auto"/>
          </w:divBdr>
        </w:div>
        <w:div w:id="1562055463">
          <w:marLeft w:val="547"/>
          <w:marRight w:val="0"/>
          <w:marTop w:val="96"/>
          <w:marBottom w:val="0"/>
          <w:divBdr>
            <w:top w:val="none" w:sz="0" w:space="0" w:color="auto"/>
            <w:left w:val="none" w:sz="0" w:space="0" w:color="auto"/>
            <w:bottom w:val="none" w:sz="0" w:space="0" w:color="auto"/>
            <w:right w:val="none" w:sz="0" w:space="0" w:color="auto"/>
          </w:divBdr>
        </w:div>
        <w:div w:id="1009210919">
          <w:marLeft w:val="547"/>
          <w:marRight w:val="0"/>
          <w:marTop w:val="96"/>
          <w:marBottom w:val="0"/>
          <w:divBdr>
            <w:top w:val="none" w:sz="0" w:space="0" w:color="auto"/>
            <w:left w:val="none" w:sz="0" w:space="0" w:color="auto"/>
            <w:bottom w:val="none" w:sz="0" w:space="0" w:color="auto"/>
            <w:right w:val="none" w:sz="0" w:space="0" w:color="auto"/>
          </w:divBdr>
        </w:div>
        <w:div w:id="949314184">
          <w:marLeft w:val="547"/>
          <w:marRight w:val="0"/>
          <w:marTop w:val="96"/>
          <w:marBottom w:val="0"/>
          <w:divBdr>
            <w:top w:val="none" w:sz="0" w:space="0" w:color="auto"/>
            <w:left w:val="none" w:sz="0" w:space="0" w:color="auto"/>
            <w:bottom w:val="none" w:sz="0" w:space="0" w:color="auto"/>
            <w:right w:val="none" w:sz="0" w:space="0" w:color="auto"/>
          </w:divBdr>
        </w:div>
        <w:div w:id="541527773">
          <w:marLeft w:val="547"/>
          <w:marRight w:val="0"/>
          <w:marTop w:val="96"/>
          <w:marBottom w:val="0"/>
          <w:divBdr>
            <w:top w:val="none" w:sz="0" w:space="0" w:color="auto"/>
            <w:left w:val="none" w:sz="0" w:space="0" w:color="auto"/>
            <w:bottom w:val="none" w:sz="0" w:space="0" w:color="auto"/>
            <w:right w:val="none" w:sz="0" w:space="0" w:color="auto"/>
          </w:divBdr>
        </w:div>
        <w:div w:id="961113699">
          <w:marLeft w:val="547"/>
          <w:marRight w:val="0"/>
          <w:marTop w:val="96"/>
          <w:marBottom w:val="0"/>
          <w:divBdr>
            <w:top w:val="none" w:sz="0" w:space="0" w:color="auto"/>
            <w:left w:val="none" w:sz="0" w:space="0" w:color="auto"/>
            <w:bottom w:val="none" w:sz="0" w:space="0" w:color="auto"/>
            <w:right w:val="none" w:sz="0" w:space="0" w:color="auto"/>
          </w:divBdr>
        </w:div>
        <w:div w:id="12072901">
          <w:marLeft w:val="547"/>
          <w:marRight w:val="0"/>
          <w:marTop w:val="96"/>
          <w:marBottom w:val="0"/>
          <w:divBdr>
            <w:top w:val="none" w:sz="0" w:space="0" w:color="auto"/>
            <w:left w:val="none" w:sz="0" w:space="0" w:color="auto"/>
            <w:bottom w:val="none" w:sz="0" w:space="0" w:color="auto"/>
            <w:right w:val="none" w:sz="0" w:space="0" w:color="auto"/>
          </w:divBdr>
        </w:div>
      </w:divsChild>
    </w:div>
    <w:div w:id="993025929">
      <w:bodyDiv w:val="1"/>
      <w:marLeft w:val="0"/>
      <w:marRight w:val="0"/>
      <w:marTop w:val="0"/>
      <w:marBottom w:val="0"/>
      <w:divBdr>
        <w:top w:val="none" w:sz="0" w:space="0" w:color="auto"/>
        <w:left w:val="none" w:sz="0" w:space="0" w:color="auto"/>
        <w:bottom w:val="none" w:sz="0" w:space="0" w:color="auto"/>
        <w:right w:val="none" w:sz="0" w:space="0" w:color="auto"/>
      </w:divBdr>
      <w:divsChild>
        <w:div w:id="1348215408">
          <w:marLeft w:val="547"/>
          <w:marRight w:val="0"/>
          <w:marTop w:val="96"/>
          <w:marBottom w:val="0"/>
          <w:divBdr>
            <w:top w:val="none" w:sz="0" w:space="0" w:color="auto"/>
            <w:left w:val="none" w:sz="0" w:space="0" w:color="auto"/>
            <w:bottom w:val="none" w:sz="0" w:space="0" w:color="auto"/>
            <w:right w:val="none" w:sz="0" w:space="0" w:color="auto"/>
          </w:divBdr>
        </w:div>
        <w:div w:id="1000935193">
          <w:marLeft w:val="547"/>
          <w:marRight w:val="0"/>
          <w:marTop w:val="96"/>
          <w:marBottom w:val="0"/>
          <w:divBdr>
            <w:top w:val="none" w:sz="0" w:space="0" w:color="auto"/>
            <w:left w:val="none" w:sz="0" w:space="0" w:color="auto"/>
            <w:bottom w:val="none" w:sz="0" w:space="0" w:color="auto"/>
            <w:right w:val="none" w:sz="0" w:space="0" w:color="auto"/>
          </w:divBdr>
        </w:div>
        <w:div w:id="1363826066">
          <w:marLeft w:val="547"/>
          <w:marRight w:val="0"/>
          <w:marTop w:val="96"/>
          <w:marBottom w:val="0"/>
          <w:divBdr>
            <w:top w:val="none" w:sz="0" w:space="0" w:color="auto"/>
            <w:left w:val="none" w:sz="0" w:space="0" w:color="auto"/>
            <w:bottom w:val="none" w:sz="0" w:space="0" w:color="auto"/>
            <w:right w:val="none" w:sz="0" w:space="0" w:color="auto"/>
          </w:divBdr>
        </w:div>
        <w:div w:id="1526823434">
          <w:marLeft w:val="547"/>
          <w:marRight w:val="0"/>
          <w:marTop w:val="96"/>
          <w:marBottom w:val="0"/>
          <w:divBdr>
            <w:top w:val="none" w:sz="0" w:space="0" w:color="auto"/>
            <w:left w:val="none" w:sz="0" w:space="0" w:color="auto"/>
            <w:bottom w:val="none" w:sz="0" w:space="0" w:color="auto"/>
            <w:right w:val="none" w:sz="0" w:space="0" w:color="auto"/>
          </w:divBdr>
        </w:div>
        <w:div w:id="2094662728">
          <w:marLeft w:val="547"/>
          <w:marRight w:val="0"/>
          <w:marTop w:val="96"/>
          <w:marBottom w:val="0"/>
          <w:divBdr>
            <w:top w:val="none" w:sz="0" w:space="0" w:color="auto"/>
            <w:left w:val="none" w:sz="0" w:space="0" w:color="auto"/>
            <w:bottom w:val="none" w:sz="0" w:space="0" w:color="auto"/>
            <w:right w:val="none" w:sz="0" w:space="0" w:color="auto"/>
          </w:divBdr>
        </w:div>
      </w:divsChild>
    </w:div>
    <w:div w:id="1034228209">
      <w:bodyDiv w:val="1"/>
      <w:marLeft w:val="0"/>
      <w:marRight w:val="0"/>
      <w:marTop w:val="0"/>
      <w:marBottom w:val="0"/>
      <w:divBdr>
        <w:top w:val="none" w:sz="0" w:space="0" w:color="auto"/>
        <w:left w:val="none" w:sz="0" w:space="0" w:color="auto"/>
        <w:bottom w:val="none" w:sz="0" w:space="0" w:color="auto"/>
        <w:right w:val="none" w:sz="0" w:space="0" w:color="auto"/>
      </w:divBdr>
      <w:divsChild>
        <w:div w:id="1906526444">
          <w:marLeft w:val="547"/>
          <w:marRight w:val="0"/>
          <w:marTop w:val="96"/>
          <w:marBottom w:val="0"/>
          <w:divBdr>
            <w:top w:val="none" w:sz="0" w:space="0" w:color="auto"/>
            <w:left w:val="none" w:sz="0" w:space="0" w:color="auto"/>
            <w:bottom w:val="none" w:sz="0" w:space="0" w:color="auto"/>
            <w:right w:val="none" w:sz="0" w:space="0" w:color="auto"/>
          </w:divBdr>
        </w:div>
        <w:div w:id="849485571">
          <w:marLeft w:val="547"/>
          <w:marRight w:val="0"/>
          <w:marTop w:val="96"/>
          <w:marBottom w:val="0"/>
          <w:divBdr>
            <w:top w:val="none" w:sz="0" w:space="0" w:color="auto"/>
            <w:left w:val="none" w:sz="0" w:space="0" w:color="auto"/>
            <w:bottom w:val="none" w:sz="0" w:space="0" w:color="auto"/>
            <w:right w:val="none" w:sz="0" w:space="0" w:color="auto"/>
          </w:divBdr>
        </w:div>
        <w:div w:id="994802960">
          <w:marLeft w:val="1166"/>
          <w:marRight w:val="0"/>
          <w:marTop w:val="96"/>
          <w:marBottom w:val="0"/>
          <w:divBdr>
            <w:top w:val="none" w:sz="0" w:space="0" w:color="auto"/>
            <w:left w:val="none" w:sz="0" w:space="0" w:color="auto"/>
            <w:bottom w:val="none" w:sz="0" w:space="0" w:color="auto"/>
            <w:right w:val="none" w:sz="0" w:space="0" w:color="auto"/>
          </w:divBdr>
        </w:div>
        <w:div w:id="1895509497">
          <w:marLeft w:val="1166"/>
          <w:marRight w:val="0"/>
          <w:marTop w:val="96"/>
          <w:marBottom w:val="0"/>
          <w:divBdr>
            <w:top w:val="none" w:sz="0" w:space="0" w:color="auto"/>
            <w:left w:val="none" w:sz="0" w:space="0" w:color="auto"/>
            <w:bottom w:val="none" w:sz="0" w:space="0" w:color="auto"/>
            <w:right w:val="none" w:sz="0" w:space="0" w:color="auto"/>
          </w:divBdr>
        </w:div>
        <w:div w:id="1124930591">
          <w:marLeft w:val="547"/>
          <w:marRight w:val="0"/>
          <w:marTop w:val="96"/>
          <w:marBottom w:val="0"/>
          <w:divBdr>
            <w:top w:val="none" w:sz="0" w:space="0" w:color="auto"/>
            <w:left w:val="none" w:sz="0" w:space="0" w:color="auto"/>
            <w:bottom w:val="none" w:sz="0" w:space="0" w:color="auto"/>
            <w:right w:val="none" w:sz="0" w:space="0" w:color="auto"/>
          </w:divBdr>
        </w:div>
        <w:div w:id="1916625715">
          <w:marLeft w:val="547"/>
          <w:marRight w:val="0"/>
          <w:marTop w:val="96"/>
          <w:marBottom w:val="0"/>
          <w:divBdr>
            <w:top w:val="none" w:sz="0" w:space="0" w:color="auto"/>
            <w:left w:val="none" w:sz="0" w:space="0" w:color="auto"/>
            <w:bottom w:val="none" w:sz="0" w:space="0" w:color="auto"/>
            <w:right w:val="none" w:sz="0" w:space="0" w:color="auto"/>
          </w:divBdr>
        </w:div>
      </w:divsChild>
    </w:div>
    <w:div w:id="1548224934">
      <w:bodyDiv w:val="1"/>
      <w:marLeft w:val="0"/>
      <w:marRight w:val="0"/>
      <w:marTop w:val="0"/>
      <w:marBottom w:val="0"/>
      <w:divBdr>
        <w:top w:val="none" w:sz="0" w:space="0" w:color="auto"/>
        <w:left w:val="none" w:sz="0" w:space="0" w:color="auto"/>
        <w:bottom w:val="none" w:sz="0" w:space="0" w:color="auto"/>
        <w:right w:val="none" w:sz="0" w:space="0" w:color="auto"/>
      </w:divBdr>
    </w:div>
    <w:div w:id="2106880375">
      <w:bodyDiv w:val="1"/>
      <w:marLeft w:val="0"/>
      <w:marRight w:val="0"/>
      <w:marTop w:val="0"/>
      <w:marBottom w:val="0"/>
      <w:divBdr>
        <w:top w:val="none" w:sz="0" w:space="0" w:color="auto"/>
        <w:left w:val="none" w:sz="0" w:space="0" w:color="auto"/>
        <w:bottom w:val="none" w:sz="0" w:space="0" w:color="auto"/>
        <w:right w:val="none" w:sz="0" w:space="0" w:color="auto"/>
      </w:divBdr>
      <w:divsChild>
        <w:div w:id="45689455">
          <w:marLeft w:val="547"/>
          <w:marRight w:val="0"/>
          <w:marTop w:val="96"/>
          <w:marBottom w:val="0"/>
          <w:divBdr>
            <w:top w:val="none" w:sz="0" w:space="0" w:color="auto"/>
            <w:left w:val="none" w:sz="0" w:space="0" w:color="auto"/>
            <w:bottom w:val="none" w:sz="0" w:space="0" w:color="auto"/>
            <w:right w:val="none" w:sz="0" w:space="0" w:color="auto"/>
          </w:divBdr>
        </w:div>
        <w:div w:id="1791509291">
          <w:marLeft w:val="1166"/>
          <w:marRight w:val="0"/>
          <w:marTop w:val="96"/>
          <w:marBottom w:val="0"/>
          <w:divBdr>
            <w:top w:val="none" w:sz="0" w:space="0" w:color="auto"/>
            <w:left w:val="none" w:sz="0" w:space="0" w:color="auto"/>
            <w:bottom w:val="none" w:sz="0" w:space="0" w:color="auto"/>
            <w:right w:val="none" w:sz="0" w:space="0" w:color="auto"/>
          </w:divBdr>
        </w:div>
        <w:div w:id="1659112349">
          <w:marLeft w:val="1166"/>
          <w:marRight w:val="0"/>
          <w:marTop w:val="96"/>
          <w:marBottom w:val="0"/>
          <w:divBdr>
            <w:top w:val="none" w:sz="0" w:space="0" w:color="auto"/>
            <w:left w:val="none" w:sz="0" w:space="0" w:color="auto"/>
            <w:bottom w:val="none" w:sz="0" w:space="0" w:color="auto"/>
            <w:right w:val="none" w:sz="0" w:space="0" w:color="auto"/>
          </w:divBdr>
        </w:div>
        <w:div w:id="133107427">
          <w:marLeft w:val="1166"/>
          <w:marRight w:val="0"/>
          <w:marTop w:val="96"/>
          <w:marBottom w:val="0"/>
          <w:divBdr>
            <w:top w:val="none" w:sz="0" w:space="0" w:color="auto"/>
            <w:left w:val="none" w:sz="0" w:space="0" w:color="auto"/>
            <w:bottom w:val="none" w:sz="0" w:space="0" w:color="auto"/>
            <w:right w:val="none" w:sz="0" w:space="0" w:color="auto"/>
          </w:divBdr>
        </w:div>
        <w:div w:id="554467291">
          <w:marLeft w:val="1166"/>
          <w:marRight w:val="0"/>
          <w:marTop w:val="96"/>
          <w:marBottom w:val="0"/>
          <w:divBdr>
            <w:top w:val="none" w:sz="0" w:space="0" w:color="auto"/>
            <w:left w:val="none" w:sz="0" w:space="0" w:color="auto"/>
            <w:bottom w:val="none" w:sz="0" w:space="0" w:color="auto"/>
            <w:right w:val="none" w:sz="0" w:space="0" w:color="auto"/>
          </w:divBdr>
        </w:div>
        <w:div w:id="643848739">
          <w:marLeft w:val="1166"/>
          <w:marRight w:val="0"/>
          <w:marTop w:val="96"/>
          <w:marBottom w:val="0"/>
          <w:divBdr>
            <w:top w:val="none" w:sz="0" w:space="0" w:color="auto"/>
            <w:left w:val="none" w:sz="0" w:space="0" w:color="auto"/>
            <w:bottom w:val="none" w:sz="0" w:space="0" w:color="auto"/>
            <w:right w:val="none" w:sz="0" w:space="0" w:color="auto"/>
          </w:divBdr>
        </w:div>
        <w:div w:id="598369143">
          <w:marLeft w:val="1166"/>
          <w:marRight w:val="0"/>
          <w:marTop w:val="96"/>
          <w:marBottom w:val="0"/>
          <w:divBdr>
            <w:top w:val="none" w:sz="0" w:space="0" w:color="auto"/>
            <w:left w:val="none" w:sz="0" w:space="0" w:color="auto"/>
            <w:bottom w:val="none" w:sz="0" w:space="0" w:color="auto"/>
            <w:right w:val="none" w:sz="0" w:space="0" w:color="auto"/>
          </w:divBdr>
        </w:div>
        <w:div w:id="1593856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Telco/Information+for+providing+service/CASF/Public+Housing+Account.htm" TargetMode="External"/><Relationship Id="rId13" Type="http://schemas.openxmlformats.org/officeDocument/2006/relationships/image" Target="media/image10.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quel.cinat@cetfun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jpg@01D04F64.4B43C1C0" TargetMode="External"/><Relationship Id="rId5" Type="http://schemas.openxmlformats.org/officeDocument/2006/relationships/webSettings" Target="webSettings.xml"/><Relationship Id="rId15" Type="http://schemas.openxmlformats.org/officeDocument/2006/relationships/hyperlink" Target="mailto:raquel.cinat@cetfund.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PUC_Housing@cpuc.ca.gov" TargetMode="External"/><Relationship Id="rId14" Type="http://schemas.openxmlformats.org/officeDocument/2006/relationships/image" Target="cid:image002.jpg@01D04F64.4B43C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rcinat</dc:creator>
  <cp:lastModifiedBy>Calhsng</cp:lastModifiedBy>
  <cp:revision>2</cp:revision>
  <dcterms:created xsi:type="dcterms:W3CDTF">2015-06-19T17:19:00Z</dcterms:created>
  <dcterms:modified xsi:type="dcterms:W3CDTF">2015-06-19T17:19:00Z</dcterms:modified>
</cp:coreProperties>
</file>